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CE15" w14:textId="77777777" w:rsidR="00D00FC5" w:rsidRPr="000937E0" w:rsidRDefault="00D00FC5" w:rsidP="00D00FC5">
      <w:pPr>
        <w:rPr>
          <w:b/>
          <w:bCs/>
        </w:rPr>
      </w:pPr>
      <w:r w:rsidRPr="000937E0">
        <w:rPr>
          <w:b/>
          <w:bCs/>
        </w:rPr>
        <w:t>The NGIE-AI Platform is a no-AI API business knowledge system that structures local ecosystem content to promote growth, assess gaps, and generate client-ready recommendations.</w:t>
      </w:r>
    </w:p>
    <w:p w14:paraId="55E991CC" w14:textId="77777777" w:rsidR="000937E0" w:rsidRPr="00D00FC5" w:rsidRDefault="000937E0" w:rsidP="00D00FC5"/>
    <w:p w14:paraId="3A57C236" w14:textId="77777777" w:rsidR="00D00FC5" w:rsidRPr="00D00FC5" w:rsidRDefault="00D00FC5" w:rsidP="00D00FC5">
      <w:r w:rsidRPr="00D00FC5">
        <w:rPr>
          <w:b/>
          <w:bCs/>
        </w:rPr>
        <w:t>Platform Overview</w:t>
      </w:r>
    </w:p>
    <w:p w14:paraId="53C26F80" w14:textId="77777777" w:rsidR="00D00FC5" w:rsidRPr="00D00FC5" w:rsidRDefault="00D00FC5" w:rsidP="00D00FC5">
      <w:pPr>
        <w:numPr>
          <w:ilvl w:val="0"/>
          <w:numId w:val="1"/>
        </w:numPr>
      </w:pPr>
      <w:r w:rsidRPr="00D00FC5">
        <w:t>Converts ecosystem websites into structured knowledge, relationships, and assessments.</w:t>
      </w:r>
    </w:p>
    <w:p w14:paraId="653C7231" w14:textId="77777777" w:rsidR="00D00FC5" w:rsidRPr="00D00FC5" w:rsidRDefault="00D00FC5" w:rsidP="00D00FC5">
      <w:pPr>
        <w:numPr>
          <w:ilvl w:val="0"/>
          <w:numId w:val="1"/>
        </w:numPr>
      </w:pPr>
      <w:r w:rsidRPr="00D00FC5">
        <w:t>Supports search, review, graph relationships, decisioning, and reporting.</w:t>
      </w:r>
    </w:p>
    <w:p w14:paraId="5AF5A2D5" w14:textId="77777777" w:rsidR="00D00FC5" w:rsidRDefault="00D00FC5" w:rsidP="00D00FC5">
      <w:pPr>
        <w:numPr>
          <w:ilvl w:val="0"/>
          <w:numId w:val="1"/>
        </w:numPr>
      </w:pPr>
      <w:r w:rsidRPr="00D00FC5">
        <w:t>Demonstrates evidence-backed recommendations without AI APIs.</w:t>
      </w:r>
    </w:p>
    <w:p w14:paraId="035C6502" w14:textId="77777777" w:rsidR="000937E0" w:rsidRPr="00D00FC5" w:rsidRDefault="000937E0" w:rsidP="000937E0">
      <w:pPr>
        <w:ind w:left="720"/>
      </w:pPr>
    </w:p>
    <w:p w14:paraId="1C74A7D6" w14:textId="77777777" w:rsidR="00D00FC5" w:rsidRPr="00D00FC5" w:rsidRDefault="00D00FC5" w:rsidP="00D00FC5">
      <w:r w:rsidRPr="00D00FC5">
        <w:rPr>
          <w:b/>
          <w:bCs/>
        </w:rPr>
        <w:t>Key Features</w:t>
      </w:r>
    </w:p>
    <w:p w14:paraId="42578A25" w14:textId="77777777" w:rsidR="00D00FC5" w:rsidRPr="00D00FC5" w:rsidRDefault="00D00FC5" w:rsidP="00D00FC5">
      <w:pPr>
        <w:numPr>
          <w:ilvl w:val="0"/>
          <w:numId w:val="2"/>
        </w:numPr>
      </w:pPr>
      <w:r w:rsidRPr="00D00FC5">
        <w:t>Reusable knowledge objects and graph nodes for ecosystem domains.</w:t>
      </w:r>
    </w:p>
    <w:p w14:paraId="335B7945" w14:textId="77777777" w:rsidR="00D00FC5" w:rsidRPr="00D00FC5" w:rsidRDefault="00D00FC5" w:rsidP="00D00FC5">
      <w:pPr>
        <w:numPr>
          <w:ilvl w:val="0"/>
          <w:numId w:val="2"/>
        </w:numPr>
      </w:pPr>
      <w:r w:rsidRPr="00D00FC5">
        <w:t>Promotes each domain as a growth channel with tailored offers.</w:t>
      </w:r>
    </w:p>
    <w:p w14:paraId="57481F03" w14:textId="77777777" w:rsidR="00D00FC5" w:rsidRPr="00D00FC5" w:rsidRDefault="00D00FC5" w:rsidP="00D00FC5">
      <w:pPr>
        <w:numPr>
          <w:ilvl w:val="0"/>
          <w:numId w:val="2"/>
        </w:numPr>
      </w:pPr>
      <w:r w:rsidRPr="00D00FC5">
        <w:t>Provides structured growth assessments, gap analysis, and reports.</w:t>
      </w:r>
    </w:p>
    <w:p w14:paraId="04DA92DB" w14:textId="77777777" w:rsidR="00D00FC5" w:rsidRDefault="00D00FC5" w:rsidP="00D00FC5">
      <w:pPr>
        <w:numPr>
          <w:ilvl w:val="0"/>
          <w:numId w:val="2"/>
        </w:numPr>
      </w:pPr>
      <w:r w:rsidRPr="00D00FC5">
        <w:t>Facilitates client conversations from assessment to service delivery.</w:t>
      </w:r>
    </w:p>
    <w:p w14:paraId="11E429D3" w14:textId="77777777" w:rsidR="000937E0" w:rsidRPr="00D00FC5" w:rsidRDefault="000937E0" w:rsidP="000937E0"/>
    <w:p w14:paraId="50408A17" w14:textId="77777777" w:rsidR="00D00FC5" w:rsidRPr="00D00FC5" w:rsidRDefault="00D00FC5" w:rsidP="00D00FC5">
      <w:r w:rsidRPr="00D00FC5">
        <w:rPr>
          <w:b/>
          <w:bCs/>
        </w:rPr>
        <w:t>Client Experience &amp; Services</w:t>
      </w:r>
    </w:p>
    <w:p w14:paraId="56FE667A" w14:textId="77777777" w:rsidR="00D00FC5" w:rsidRPr="00D00FC5" w:rsidRDefault="00D00FC5" w:rsidP="00D00FC5">
      <w:pPr>
        <w:numPr>
          <w:ilvl w:val="0"/>
          <w:numId w:val="3"/>
        </w:numPr>
      </w:pPr>
      <w:r w:rsidRPr="00D00FC5">
        <w:t>Enables practical growth journeys with assessments, reports, and proposals.</w:t>
      </w:r>
    </w:p>
    <w:p w14:paraId="78AE3327" w14:textId="77777777" w:rsidR="00D00FC5" w:rsidRPr="00D00FC5" w:rsidRDefault="00D00FC5" w:rsidP="00D00FC5">
      <w:pPr>
        <w:numPr>
          <w:ilvl w:val="0"/>
          <w:numId w:val="3"/>
        </w:numPr>
      </w:pPr>
      <w:r w:rsidRPr="00D00FC5">
        <w:t>Surfaces strengths, gaps, and next steps based on deterministic data.</w:t>
      </w:r>
    </w:p>
    <w:p w14:paraId="4DED6165" w14:textId="77777777" w:rsidR="00D00FC5" w:rsidRDefault="00D00FC5" w:rsidP="00D00FC5">
      <w:pPr>
        <w:numPr>
          <w:ilvl w:val="0"/>
          <w:numId w:val="3"/>
        </w:numPr>
      </w:pPr>
      <w:r w:rsidRPr="00D00FC5">
        <w:t>Supports service packaging like growth assessments, website/SEO, AI readiness, marketplace enablement, and training.</w:t>
      </w:r>
    </w:p>
    <w:p w14:paraId="24EBB136" w14:textId="77777777" w:rsidR="000937E0" w:rsidRPr="00D00FC5" w:rsidRDefault="000937E0" w:rsidP="000937E0"/>
    <w:p w14:paraId="26BE2DD8" w14:textId="77777777" w:rsidR="00D00FC5" w:rsidRPr="00D00FC5" w:rsidRDefault="00D00FC5" w:rsidP="00D00FC5">
      <w:r w:rsidRPr="00D00FC5">
        <w:rPr>
          <w:b/>
          <w:bCs/>
        </w:rPr>
        <w:t>Go-to-Market &amp; Workflow</w:t>
      </w:r>
    </w:p>
    <w:p w14:paraId="68F17C40" w14:textId="77777777" w:rsidR="00D00FC5" w:rsidRPr="00D00FC5" w:rsidRDefault="00D00FC5" w:rsidP="00D00FC5">
      <w:pPr>
        <w:numPr>
          <w:ilvl w:val="0"/>
          <w:numId w:val="4"/>
        </w:numPr>
      </w:pPr>
      <w:r w:rsidRPr="00D00FC5">
        <w:t>Promotes ecosystem domains, invites businesses for assessments.</w:t>
      </w:r>
    </w:p>
    <w:p w14:paraId="133899B7" w14:textId="77777777" w:rsidR="00D00FC5" w:rsidRPr="00D00FC5" w:rsidRDefault="00D00FC5" w:rsidP="00D00FC5">
      <w:pPr>
        <w:numPr>
          <w:ilvl w:val="0"/>
          <w:numId w:val="4"/>
        </w:numPr>
      </w:pPr>
      <w:r w:rsidRPr="00D00FC5">
        <w:t>Recommends services, turns insights into proposals, and manages relationships.</w:t>
      </w:r>
    </w:p>
    <w:p w14:paraId="7D6DBB9F" w14:textId="77777777" w:rsidR="00D00FC5" w:rsidRPr="00D00FC5" w:rsidRDefault="00D00FC5" w:rsidP="00D00FC5">
      <w:pPr>
        <w:numPr>
          <w:ilvl w:val="0"/>
          <w:numId w:val="4"/>
        </w:numPr>
      </w:pPr>
      <w:r w:rsidRPr="00D00FC5">
        <w:t>Focuses on trust-building and converting assessments into service engagements.</w:t>
      </w:r>
    </w:p>
    <w:p w14:paraId="5FBA1C10" w14:textId="77777777" w:rsidR="000937E0" w:rsidRDefault="00D00FC5" w:rsidP="00D00FC5">
      <w:r w:rsidRPr="00D00FC5">
        <w:t> </w:t>
      </w:r>
    </w:p>
    <w:p w14:paraId="462AEE61" w14:textId="6F6A6539" w:rsidR="00D00FC5" w:rsidRPr="000937E0" w:rsidRDefault="00D00FC5" w:rsidP="00D00FC5">
      <w:pPr>
        <w:rPr>
          <w:b/>
          <w:bCs/>
          <w:sz w:val="28"/>
          <w:szCs w:val="28"/>
        </w:rPr>
      </w:pPr>
      <w:r w:rsidRPr="000937E0">
        <w:rPr>
          <w:b/>
          <w:bCs/>
          <w:sz w:val="28"/>
          <w:szCs w:val="28"/>
        </w:rPr>
        <w:lastRenderedPageBreak/>
        <w:t>Analysis of the Client Growth Assessment Process</w:t>
      </w:r>
    </w:p>
    <w:p w14:paraId="2A3F9007" w14:textId="77777777" w:rsidR="000937E0" w:rsidRPr="00D00FC5" w:rsidRDefault="000937E0" w:rsidP="00D00FC5">
      <w:pPr>
        <w:rPr>
          <w:b/>
          <w:bCs/>
        </w:rPr>
      </w:pPr>
    </w:p>
    <w:p w14:paraId="7807C764" w14:textId="77777777" w:rsidR="00D00FC5" w:rsidRPr="00D00FC5" w:rsidRDefault="00D00FC5" w:rsidP="00D00FC5">
      <w:pPr>
        <w:rPr>
          <w:b/>
          <w:bCs/>
        </w:rPr>
      </w:pPr>
      <w:r w:rsidRPr="00D00FC5">
        <w:rPr>
          <w:b/>
          <w:bCs/>
        </w:rPr>
        <w:t>1. Current State and Structure</w:t>
      </w:r>
    </w:p>
    <w:p w14:paraId="5D794475" w14:textId="77777777" w:rsidR="00D00FC5" w:rsidRPr="00D00FC5" w:rsidRDefault="00D00FC5" w:rsidP="00D00FC5">
      <w:r w:rsidRPr="00D00FC5">
        <w:t>The NGIE-AI platform offers a deterministic, assessment-led approach to client growth. The process is designed to:</w:t>
      </w:r>
    </w:p>
    <w:p w14:paraId="10442389" w14:textId="77777777" w:rsidR="00D00FC5" w:rsidRPr="00D00FC5" w:rsidRDefault="00D00FC5" w:rsidP="00D00FC5">
      <w:pPr>
        <w:numPr>
          <w:ilvl w:val="0"/>
          <w:numId w:val="5"/>
        </w:numPr>
      </w:pPr>
      <w:r w:rsidRPr="00D00FC5">
        <w:t>Convert ecosystem website content into structured, actionable business intelligence.</w:t>
      </w:r>
    </w:p>
    <w:p w14:paraId="2113E8E2" w14:textId="77777777" w:rsidR="00D00FC5" w:rsidRPr="00D00FC5" w:rsidRDefault="00D00FC5" w:rsidP="00D00FC5">
      <w:pPr>
        <w:numPr>
          <w:ilvl w:val="0"/>
          <w:numId w:val="5"/>
        </w:numPr>
      </w:pPr>
      <w:r w:rsidRPr="00D00FC5">
        <w:t>Guide prospects from initial engagement to a tailored growth roadmap, without relying on external AI APIs.</w:t>
      </w:r>
    </w:p>
    <w:p w14:paraId="13D9DCBA" w14:textId="77777777" w:rsidR="00D00FC5" w:rsidRDefault="00D00FC5" w:rsidP="00D00FC5">
      <w:pPr>
        <w:numPr>
          <w:ilvl w:val="0"/>
          <w:numId w:val="5"/>
        </w:numPr>
      </w:pPr>
      <w:r w:rsidRPr="00D00FC5">
        <w:t xml:space="preserve">Provide a unified backbone for lead generation, recommendations, and client delivery across multiple ecosystem domains (e.g., technology, nonprofit, tourism, </w:t>
      </w:r>
      <w:proofErr w:type="gramStart"/>
      <w:r w:rsidRPr="00D00FC5">
        <w:t>ecommerce</w:t>
      </w:r>
      <w:proofErr w:type="gramEnd"/>
      <w:r w:rsidRPr="00D00FC5">
        <w:t>, foodservice).</w:t>
      </w:r>
    </w:p>
    <w:p w14:paraId="16BD68EF" w14:textId="77777777" w:rsidR="00D00FC5" w:rsidRPr="00D00FC5" w:rsidRDefault="00D00FC5" w:rsidP="00D00FC5">
      <w:pPr>
        <w:ind w:left="720"/>
      </w:pPr>
    </w:p>
    <w:p w14:paraId="27F58F02" w14:textId="77777777" w:rsidR="00D00FC5" w:rsidRPr="00D00FC5" w:rsidRDefault="00D00FC5" w:rsidP="00D00FC5">
      <w:pPr>
        <w:rPr>
          <w:b/>
          <w:bCs/>
        </w:rPr>
      </w:pPr>
      <w:r w:rsidRPr="00D00FC5">
        <w:rPr>
          <w:b/>
          <w:bCs/>
        </w:rPr>
        <w:t>2. Step-by-Step Assessment Journey</w:t>
      </w:r>
    </w:p>
    <w:p w14:paraId="127C057D" w14:textId="77777777" w:rsidR="00D00FC5" w:rsidRPr="00D00FC5" w:rsidRDefault="00D00FC5" w:rsidP="00D00FC5">
      <w:r w:rsidRPr="00D00FC5">
        <w:t>The client growth assessment process follows a clear, repeatable path:</w:t>
      </w:r>
    </w:p>
    <w:p w14:paraId="3AEB4402" w14:textId="77777777" w:rsidR="00D00FC5" w:rsidRPr="00D00FC5" w:rsidRDefault="00D00FC5" w:rsidP="00D00FC5">
      <w:pPr>
        <w:numPr>
          <w:ilvl w:val="0"/>
          <w:numId w:val="6"/>
        </w:numPr>
      </w:pPr>
      <w:r w:rsidRPr="00D00FC5">
        <w:rPr>
          <w:b/>
          <w:bCs/>
        </w:rPr>
        <w:t>Inputs</w:t>
      </w:r>
      <w:proofErr w:type="gramStart"/>
      <w:r w:rsidRPr="00D00FC5">
        <w:t>: The business</w:t>
      </w:r>
      <w:proofErr w:type="gramEnd"/>
      <w:r w:rsidRPr="00D00FC5">
        <w:t xml:space="preserve"> provides basic information and context.</w:t>
      </w:r>
    </w:p>
    <w:p w14:paraId="6E9CD205" w14:textId="77777777" w:rsidR="00D00FC5" w:rsidRPr="00D00FC5" w:rsidRDefault="00D00FC5" w:rsidP="00D00FC5">
      <w:pPr>
        <w:numPr>
          <w:ilvl w:val="0"/>
          <w:numId w:val="6"/>
        </w:numPr>
      </w:pPr>
      <w:r w:rsidRPr="00D00FC5">
        <w:rPr>
          <w:b/>
          <w:bCs/>
        </w:rPr>
        <w:t>Score</w:t>
      </w:r>
      <w:r w:rsidRPr="00D00FC5">
        <w:t>: The platform generates a capability score (e.g., 42/100 for El Rey Cantina).</w:t>
      </w:r>
    </w:p>
    <w:p w14:paraId="11320D18" w14:textId="77777777" w:rsidR="00D00FC5" w:rsidRPr="00D00FC5" w:rsidRDefault="00D00FC5" w:rsidP="00D00FC5">
      <w:pPr>
        <w:numPr>
          <w:ilvl w:val="0"/>
          <w:numId w:val="6"/>
        </w:numPr>
      </w:pPr>
      <w:r w:rsidRPr="00D00FC5">
        <w:rPr>
          <w:b/>
          <w:bCs/>
        </w:rPr>
        <w:t>Gaps</w:t>
      </w:r>
      <w:r w:rsidRPr="00D00FC5">
        <w:t>: The assessment identifies critical gaps and strengths (e.g., Training and Workforce marked as CRITICAL).</w:t>
      </w:r>
    </w:p>
    <w:p w14:paraId="482D0E30" w14:textId="77777777" w:rsidR="00D00FC5" w:rsidRPr="00D00FC5" w:rsidRDefault="00D00FC5" w:rsidP="00D00FC5">
      <w:pPr>
        <w:numPr>
          <w:ilvl w:val="0"/>
          <w:numId w:val="6"/>
        </w:numPr>
      </w:pPr>
      <w:r w:rsidRPr="00D00FC5">
        <w:rPr>
          <w:b/>
          <w:bCs/>
        </w:rPr>
        <w:t>Services</w:t>
      </w:r>
      <w:r w:rsidRPr="00D00FC5">
        <w:t>: Tailored recommendations and service packages are presented based on the assessment.</w:t>
      </w:r>
    </w:p>
    <w:p w14:paraId="03861152" w14:textId="77777777" w:rsidR="00D00FC5" w:rsidRDefault="00D00FC5" w:rsidP="00D00FC5">
      <w:pPr>
        <w:numPr>
          <w:ilvl w:val="0"/>
          <w:numId w:val="6"/>
        </w:numPr>
      </w:pPr>
      <w:r w:rsidRPr="00D00FC5">
        <w:rPr>
          <w:b/>
          <w:bCs/>
        </w:rPr>
        <w:t>Report</w:t>
      </w:r>
      <w:r w:rsidRPr="00D00FC5">
        <w:t>: A downloadable, evidence-backed report is generated for use in sales, proposals, and onboarding.</w:t>
      </w:r>
    </w:p>
    <w:p w14:paraId="76C6838A" w14:textId="77777777" w:rsidR="00D00FC5" w:rsidRPr="00D00FC5" w:rsidRDefault="00D00FC5" w:rsidP="00D00FC5"/>
    <w:p w14:paraId="49532E03" w14:textId="77777777" w:rsidR="00D00FC5" w:rsidRPr="00D00FC5" w:rsidRDefault="00D00FC5" w:rsidP="00D00FC5">
      <w:pPr>
        <w:rPr>
          <w:b/>
          <w:bCs/>
        </w:rPr>
      </w:pPr>
      <w:r w:rsidRPr="00D00FC5">
        <w:rPr>
          <w:b/>
          <w:bCs/>
        </w:rPr>
        <w:t>3. Strengths of the Process</w:t>
      </w:r>
    </w:p>
    <w:p w14:paraId="1718FDE9" w14:textId="77777777" w:rsidR="00D00FC5" w:rsidRPr="00D00FC5" w:rsidRDefault="00D00FC5" w:rsidP="00D00FC5">
      <w:pPr>
        <w:numPr>
          <w:ilvl w:val="0"/>
          <w:numId w:val="7"/>
        </w:numPr>
      </w:pPr>
      <w:r w:rsidRPr="00D00FC5">
        <w:rPr>
          <w:b/>
          <w:bCs/>
        </w:rPr>
        <w:t>Deterministic and Transparent</w:t>
      </w:r>
      <w:r w:rsidRPr="00D00FC5">
        <w:t>: Recommendations are evidence-backed and reviewable, not generic or AI-black-box outputs.</w:t>
      </w:r>
    </w:p>
    <w:p w14:paraId="34D19ECC" w14:textId="77777777" w:rsidR="00D00FC5" w:rsidRPr="00D00FC5" w:rsidRDefault="00D00FC5" w:rsidP="00D00FC5">
      <w:pPr>
        <w:numPr>
          <w:ilvl w:val="0"/>
          <w:numId w:val="7"/>
        </w:numPr>
      </w:pPr>
      <w:r w:rsidRPr="00D00FC5">
        <w:rPr>
          <w:b/>
          <w:bCs/>
        </w:rPr>
        <w:t>Actionable Roadmaps</w:t>
      </w:r>
      <w:r w:rsidRPr="00D00FC5">
        <w:t>: The process bridges the gap between assessment and concrete service delivery (e.g., training, AI-readiness, operations).</w:t>
      </w:r>
    </w:p>
    <w:p w14:paraId="68C5D910" w14:textId="77777777" w:rsidR="00D00FC5" w:rsidRPr="00D00FC5" w:rsidRDefault="00D00FC5" w:rsidP="00D00FC5">
      <w:pPr>
        <w:numPr>
          <w:ilvl w:val="0"/>
          <w:numId w:val="7"/>
        </w:numPr>
      </w:pPr>
      <w:r w:rsidRPr="00D00FC5">
        <w:rPr>
          <w:b/>
          <w:bCs/>
        </w:rPr>
        <w:lastRenderedPageBreak/>
        <w:t>Ecosystem Integration</w:t>
      </w:r>
      <w:r w:rsidRPr="00D00FC5">
        <w:t xml:space="preserve">: Each domain (e.g., GiNi Tech, eRiverSpace) can promote its own offers while contributing to </w:t>
      </w:r>
      <w:proofErr w:type="gramStart"/>
      <w:r w:rsidRPr="00D00FC5">
        <w:t>a unified</w:t>
      </w:r>
      <w:proofErr w:type="gramEnd"/>
      <w:r w:rsidRPr="00D00FC5">
        <w:t xml:space="preserve"> client experience.</w:t>
      </w:r>
    </w:p>
    <w:p w14:paraId="09253CAB" w14:textId="77777777" w:rsidR="00D00FC5" w:rsidRDefault="00D00FC5" w:rsidP="00D00FC5">
      <w:pPr>
        <w:numPr>
          <w:ilvl w:val="0"/>
          <w:numId w:val="7"/>
        </w:numPr>
      </w:pPr>
      <w:r w:rsidRPr="00D00FC5">
        <w:rPr>
          <w:b/>
          <w:bCs/>
        </w:rPr>
        <w:t>Repeatable and Scalable</w:t>
      </w:r>
      <w:r w:rsidRPr="00D00FC5">
        <w:t>: The process is designed to be reused across different domains and client types, supporting lead generation and client retention.</w:t>
      </w:r>
    </w:p>
    <w:p w14:paraId="04AD2283" w14:textId="77777777" w:rsidR="000937E0" w:rsidRPr="00D00FC5" w:rsidRDefault="000937E0" w:rsidP="000937E0">
      <w:pPr>
        <w:ind w:left="720"/>
      </w:pPr>
    </w:p>
    <w:p w14:paraId="74951747" w14:textId="77777777" w:rsidR="00D00FC5" w:rsidRPr="00D00FC5" w:rsidRDefault="00D00FC5" w:rsidP="00D00FC5">
      <w:pPr>
        <w:rPr>
          <w:b/>
          <w:bCs/>
        </w:rPr>
      </w:pPr>
      <w:r w:rsidRPr="00D00FC5">
        <w:rPr>
          <w:b/>
          <w:bCs/>
        </w:rPr>
        <w:t>4. Gaps and Opportunities</w:t>
      </w:r>
    </w:p>
    <w:p w14:paraId="16AAF09D" w14:textId="77777777" w:rsidR="00D00FC5" w:rsidRPr="00D00FC5" w:rsidRDefault="00D00FC5" w:rsidP="00D00FC5">
      <w:pPr>
        <w:numPr>
          <w:ilvl w:val="0"/>
          <w:numId w:val="8"/>
        </w:numPr>
      </w:pPr>
      <w:r w:rsidRPr="00D00FC5">
        <w:rPr>
          <w:b/>
          <w:bCs/>
        </w:rPr>
        <w:t>User Engagement</w:t>
      </w:r>
      <w:r w:rsidRPr="00D00FC5">
        <w:t>: Success depends on effectively driving traffic and encouraging businesses to complete the assessment.</w:t>
      </w:r>
    </w:p>
    <w:p w14:paraId="36DD6737" w14:textId="77777777" w:rsidR="00D00FC5" w:rsidRPr="00D00FC5" w:rsidRDefault="00D00FC5" w:rsidP="00D00FC5">
      <w:pPr>
        <w:numPr>
          <w:ilvl w:val="0"/>
          <w:numId w:val="8"/>
        </w:numPr>
      </w:pPr>
      <w:proofErr w:type="gramStart"/>
      <w:r w:rsidRPr="00D00FC5">
        <w:rPr>
          <w:b/>
          <w:bCs/>
        </w:rPr>
        <w:t>Customization</w:t>
      </w:r>
      <w:r w:rsidRPr="00D00FC5">
        <w:t>: While</w:t>
      </w:r>
      <w:proofErr w:type="gramEnd"/>
      <w:r w:rsidRPr="00D00FC5">
        <w:t xml:space="preserve"> the process is structured, further tailoring for niche industries or unique business models could enhance value.</w:t>
      </w:r>
    </w:p>
    <w:p w14:paraId="66CD7AF3" w14:textId="77777777" w:rsidR="00D00FC5" w:rsidRDefault="00D00FC5" w:rsidP="00D00FC5">
      <w:pPr>
        <w:numPr>
          <w:ilvl w:val="0"/>
          <w:numId w:val="8"/>
        </w:numPr>
      </w:pPr>
      <w:r w:rsidRPr="00D00FC5">
        <w:rPr>
          <w:b/>
          <w:bCs/>
        </w:rPr>
        <w:t>Follow-Through</w:t>
      </w:r>
      <w:r w:rsidRPr="00D00FC5">
        <w:t>: Ensuring that the roadmap and recommendations are consistently turned into actionable proposals and delivery plans is critical for client outcomes.</w:t>
      </w:r>
    </w:p>
    <w:p w14:paraId="0305CE45" w14:textId="77777777" w:rsidR="00D00FC5" w:rsidRPr="00D00FC5" w:rsidRDefault="00D00FC5" w:rsidP="00D00FC5"/>
    <w:p w14:paraId="73F2B18A" w14:textId="77777777" w:rsidR="00D00FC5" w:rsidRPr="00D00FC5" w:rsidRDefault="00D00FC5" w:rsidP="00D00FC5">
      <w:pPr>
        <w:rPr>
          <w:b/>
          <w:bCs/>
        </w:rPr>
      </w:pPr>
      <w:r w:rsidRPr="00D00FC5">
        <w:rPr>
          <w:b/>
          <w:bCs/>
        </w:rPr>
        <w:t>5. Example Implementation</w:t>
      </w:r>
    </w:p>
    <w:p w14:paraId="4091DF3D" w14:textId="77777777" w:rsidR="00D00FC5" w:rsidRDefault="00D00FC5" w:rsidP="00D00FC5">
      <w:pPr>
        <w:numPr>
          <w:ilvl w:val="0"/>
          <w:numId w:val="9"/>
        </w:numPr>
      </w:pPr>
      <w:r w:rsidRPr="00D00FC5">
        <w:rPr>
          <w:b/>
          <w:bCs/>
        </w:rPr>
        <w:t>El Rey Cantina Case</w:t>
      </w:r>
      <w:r w:rsidRPr="00D00FC5">
        <w:t>: The assessment identified Digital Presence, Technology, and Marketing as strengths, but flagged Training and Workforce as critical gaps. This led to a targeted service package proposal, demonstrating how the process turns assessment insights into sales conversations and delivery plans.</w:t>
      </w:r>
    </w:p>
    <w:p w14:paraId="1B87B29B" w14:textId="77777777" w:rsidR="000937E0" w:rsidRPr="00D00FC5" w:rsidRDefault="000937E0" w:rsidP="000937E0"/>
    <w:p w14:paraId="372DF469" w14:textId="77777777" w:rsidR="00D00FC5" w:rsidRPr="00D00FC5" w:rsidRDefault="00D00FC5" w:rsidP="00D00FC5">
      <w:pPr>
        <w:rPr>
          <w:b/>
          <w:bCs/>
        </w:rPr>
      </w:pPr>
      <w:r w:rsidRPr="00D00FC5">
        <w:rPr>
          <w:b/>
          <w:bCs/>
        </w:rPr>
        <w:t>6. Summary Table: Assessment Process Flow</w:t>
      </w:r>
    </w:p>
    <w:tbl>
      <w:tblPr>
        <w:tblW w:w="17400" w:type="dxa"/>
        <w:tblCellSpacing w:w="15" w:type="dxa"/>
        <w:tblCellMar>
          <w:left w:w="0" w:type="dxa"/>
          <w:right w:w="0" w:type="dxa"/>
        </w:tblCellMar>
        <w:tblLook w:val="04A0" w:firstRow="1" w:lastRow="0" w:firstColumn="1" w:lastColumn="0" w:noHBand="0" w:noVBand="1"/>
      </w:tblPr>
      <w:tblGrid>
        <w:gridCol w:w="3375"/>
        <w:gridCol w:w="14025"/>
      </w:tblGrid>
      <w:tr w:rsidR="00D00FC5" w:rsidRPr="00D00FC5" w14:paraId="03C69E9D" w14:textId="77777777">
        <w:trPr>
          <w:tblHeader/>
          <w:tblCellSpacing w:w="15" w:type="dxa"/>
        </w:trPr>
        <w:tc>
          <w:tcPr>
            <w:tcW w:w="0" w:type="auto"/>
            <w:shd w:val="clear" w:color="auto" w:fill="E9E9E9"/>
            <w:tcMar>
              <w:top w:w="120" w:type="dxa"/>
              <w:left w:w="120" w:type="dxa"/>
              <w:bottom w:w="120" w:type="dxa"/>
              <w:right w:w="120" w:type="dxa"/>
            </w:tcMar>
            <w:hideMark/>
          </w:tcPr>
          <w:p w14:paraId="79064465" w14:textId="77777777" w:rsidR="00D00FC5" w:rsidRPr="00D00FC5" w:rsidRDefault="00D00FC5" w:rsidP="00D00FC5">
            <w:pPr>
              <w:rPr>
                <w:b/>
                <w:bCs/>
              </w:rPr>
            </w:pPr>
            <w:r w:rsidRPr="00D00FC5">
              <w:rPr>
                <w:b/>
                <w:bCs/>
              </w:rPr>
              <w:t>Step</w:t>
            </w:r>
          </w:p>
        </w:tc>
        <w:tc>
          <w:tcPr>
            <w:tcW w:w="0" w:type="auto"/>
            <w:shd w:val="clear" w:color="auto" w:fill="E9E9E9"/>
            <w:tcMar>
              <w:top w:w="120" w:type="dxa"/>
              <w:left w:w="120" w:type="dxa"/>
              <w:bottom w:w="120" w:type="dxa"/>
              <w:right w:w="120" w:type="dxa"/>
            </w:tcMar>
            <w:hideMark/>
          </w:tcPr>
          <w:p w14:paraId="007AD83F" w14:textId="77777777" w:rsidR="00D00FC5" w:rsidRPr="00D00FC5" w:rsidRDefault="00D00FC5" w:rsidP="00D00FC5">
            <w:pPr>
              <w:rPr>
                <w:b/>
                <w:bCs/>
              </w:rPr>
            </w:pPr>
            <w:r w:rsidRPr="00D00FC5">
              <w:rPr>
                <w:b/>
                <w:bCs/>
              </w:rPr>
              <w:t>Description</w:t>
            </w:r>
          </w:p>
        </w:tc>
      </w:tr>
      <w:tr w:rsidR="00D00FC5" w:rsidRPr="00D00FC5" w14:paraId="348865C1" w14:textId="77777777">
        <w:trPr>
          <w:tblCellSpacing w:w="15" w:type="dxa"/>
        </w:trPr>
        <w:tc>
          <w:tcPr>
            <w:tcW w:w="0" w:type="auto"/>
            <w:shd w:val="clear" w:color="auto" w:fill="FFFFFF"/>
            <w:tcMar>
              <w:top w:w="120" w:type="dxa"/>
              <w:left w:w="120" w:type="dxa"/>
              <w:bottom w:w="120" w:type="dxa"/>
              <w:right w:w="120" w:type="dxa"/>
            </w:tcMar>
            <w:hideMark/>
          </w:tcPr>
          <w:p w14:paraId="75BFA993" w14:textId="77777777" w:rsidR="00D00FC5" w:rsidRPr="00D00FC5" w:rsidRDefault="00D00FC5" w:rsidP="00D00FC5">
            <w:r w:rsidRPr="00D00FC5">
              <w:t>Promote</w:t>
            </w:r>
          </w:p>
        </w:tc>
        <w:tc>
          <w:tcPr>
            <w:tcW w:w="0" w:type="auto"/>
            <w:shd w:val="clear" w:color="auto" w:fill="FFFFFF"/>
            <w:tcMar>
              <w:top w:w="120" w:type="dxa"/>
              <w:left w:w="120" w:type="dxa"/>
              <w:bottom w:w="120" w:type="dxa"/>
              <w:right w:w="120" w:type="dxa"/>
            </w:tcMar>
            <w:hideMark/>
          </w:tcPr>
          <w:p w14:paraId="54D96F1C" w14:textId="77777777" w:rsidR="00D00FC5" w:rsidRPr="00D00FC5" w:rsidRDefault="00D00FC5" w:rsidP="00D00FC5">
            <w:r w:rsidRPr="00D00FC5">
              <w:t>Drive traffic from ecosystem domains and campaigns</w:t>
            </w:r>
          </w:p>
        </w:tc>
      </w:tr>
      <w:tr w:rsidR="00D00FC5" w:rsidRPr="00D00FC5" w14:paraId="035EA0FD" w14:textId="77777777">
        <w:trPr>
          <w:tblCellSpacing w:w="15" w:type="dxa"/>
        </w:trPr>
        <w:tc>
          <w:tcPr>
            <w:tcW w:w="0" w:type="auto"/>
            <w:shd w:val="clear" w:color="auto" w:fill="FFFFFF"/>
            <w:tcMar>
              <w:top w:w="120" w:type="dxa"/>
              <w:left w:w="120" w:type="dxa"/>
              <w:bottom w:w="120" w:type="dxa"/>
              <w:right w:w="120" w:type="dxa"/>
            </w:tcMar>
            <w:hideMark/>
          </w:tcPr>
          <w:p w14:paraId="6FB47C1F" w14:textId="77777777" w:rsidR="00D00FC5" w:rsidRPr="00D00FC5" w:rsidRDefault="00D00FC5" w:rsidP="00D00FC5">
            <w:r w:rsidRPr="00D00FC5">
              <w:t>Assess</w:t>
            </w:r>
          </w:p>
        </w:tc>
        <w:tc>
          <w:tcPr>
            <w:tcW w:w="0" w:type="auto"/>
            <w:shd w:val="clear" w:color="auto" w:fill="FFFFFF"/>
            <w:tcMar>
              <w:top w:w="120" w:type="dxa"/>
              <w:left w:w="120" w:type="dxa"/>
              <w:bottom w:w="120" w:type="dxa"/>
              <w:right w:w="120" w:type="dxa"/>
            </w:tcMar>
            <w:hideMark/>
          </w:tcPr>
          <w:p w14:paraId="7A0A9763" w14:textId="77777777" w:rsidR="00D00FC5" w:rsidRPr="00D00FC5" w:rsidRDefault="00D00FC5" w:rsidP="00D00FC5">
            <w:r w:rsidRPr="00D00FC5">
              <w:t>Invite businesses to complete the growth assessment</w:t>
            </w:r>
          </w:p>
        </w:tc>
      </w:tr>
      <w:tr w:rsidR="00D00FC5" w:rsidRPr="00D00FC5" w14:paraId="11C40789" w14:textId="77777777">
        <w:trPr>
          <w:tblCellSpacing w:w="15" w:type="dxa"/>
        </w:trPr>
        <w:tc>
          <w:tcPr>
            <w:tcW w:w="0" w:type="auto"/>
            <w:shd w:val="clear" w:color="auto" w:fill="FFFFFF"/>
            <w:tcMar>
              <w:top w:w="120" w:type="dxa"/>
              <w:left w:w="120" w:type="dxa"/>
              <w:bottom w:w="120" w:type="dxa"/>
              <w:right w:w="120" w:type="dxa"/>
            </w:tcMar>
            <w:hideMark/>
          </w:tcPr>
          <w:p w14:paraId="6052AC4D" w14:textId="77777777" w:rsidR="00D00FC5" w:rsidRPr="00D00FC5" w:rsidRDefault="00D00FC5" w:rsidP="00D00FC5">
            <w:r w:rsidRPr="00D00FC5">
              <w:t>Recommend</w:t>
            </w:r>
          </w:p>
        </w:tc>
        <w:tc>
          <w:tcPr>
            <w:tcW w:w="0" w:type="auto"/>
            <w:shd w:val="clear" w:color="auto" w:fill="FFFFFF"/>
            <w:tcMar>
              <w:top w:w="120" w:type="dxa"/>
              <w:left w:w="120" w:type="dxa"/>
              <w:bottom w:w="120" w:type="dxa"/>
              <w:right w:w="120" w:type="dxa"/>
            </w:tcMar>
            <w:hideMark/>
          </w:tcPr>
          <w:p w14:paraId="5EA8EE1F" w14:textId="77777777" w:rsidR="00D00FC5" w:rsidRPr="00D00FC5" w:rsidRDefault="00D00FC5" w:rsidP="00D00FC5">
            <w:r w:rsidRPr="00D00FC5">
              <w:t>Show gaps, services, products, training, and partners</w:t>
            </w:r>
          </w:p>
        </w:tc>
      </w:tr>
      <w:tr w:rsidR="00D00FC5" w:rsidRPr="00D00FC5" w14:paraId="2E4066FD" w14:textId="77777777">
        <w:trPr>
          <w:tblCellSpacing w:w="15" w:type="dxa"/>
        </w:trPr>
        <w:tc>
          <w:tcPr>
            <w:tcW w:w="0" w:type="auto"/>
            <w:shd w:val="clear" w:color="auto" w:fill="FFFFFF"/>
            <w:tcMar>
              <w:top w:w="120" w:type="dxa"/>
              <w:left w:w="120" w:type="dxa"/>
              <w:bottom w:w="120" w:type="dxa"/>
              <w:right w:w="120" w:type="dxa"/>
            </w:tcMar>
            <w:hideMark/>
          </w:tcPr>
          <w:p w14:paraId="2861D84E" w14:textId="77777777" w:rsidR="00D00FC5" w:rsidRPr="00D00FC5" w:rsidRDefault="00D00FC5" w:rsidP="00D00FC5">
            <w:r w:rsidRPr="00D00FC5">
              <w:t>Package</w:t>
            </w:r>
          </w:p>
        </w:tc>
        <w:tc>
          <w:tcPr>
            <w:tcW w:w="0" w:type="auto"/>
            <w:shd w:val="clear" w:color="auto" w:fill="FFFFFF"/>
            <w:tcMar>
              <w:top w:w="120" w:type="dxa"/>
              <w:left w:w="120" w:type="dxa"/>
              <w:bottom w:w="120" w:type="dxa"/>
              <w:right w:w="120" w:type="dxa"/>
            </w:tcMar>
            <w:hideMark/>
          </w:tcPr>
          <w:p w14:paraId="4CB3F164" w14:textId="77777777" w:rsidR="00D00FC5" w:rsidRPr="00D00FC5" w:rsidRDefault="00D00FC5" w:rsidP="00D00FC5">
            <w:r w:rsidRPr="00D00FC5">
              <w:t>Turn the roadmap into a proposal and delivery plan</w:t>
            </w:r>
          </w:p>
        </w:tc>
      </w:tr>
      <w:tr w:rsidR="00D00FC5" w:rsidRPr="00D00FC5" w14:paraId="738DBDC7" w14:textId="77777777">
        <w:trPr>
          <w:tblCellSpacing w:w="15" w:type="dxa"/>
        </w:trPr>
        <w:tc>
          <w:tcPr>
            <w:tcW w:w="0" w:type="auto"/>
            <w:shd w:val="clear" w:color="auto" w:fill="FFFFFF"/>
            <w:tcMar>
              <w:top w:w="120" w:type="dxa"/>
              <w:left w:w="120" w:type="dxa"/>
              <w:bottom w:w="120" w:type="dxa"/>
              <w:right w:w="120" w:type="dxa"/>
            </w:tcMar>
            <w:hideMark/>
          </w:tcPr>
          <w:p w14:paraId="77BBD3B2" w14:textId="77777777" w:rsidR="00D00FC5" w:rsidRPr="00D00FC5" w:rsidRDefault="00D00FC5" w:rsidP="00D00FC5">
            <w:r w:rsidRPr="00D00FC5">
              <w:lastRenderedPageBreak/>
              <w:t>Grow</w:t>
            </w:r>
          </w:p>
        </w:tc>
        <w:tc>
          <w:tcPr>
            <w:tcW w:w="0" w:type="auto"/>
            <w:shd w:val="clear" w:color="auto" w:fill="FFFFFF"/>
            <w:tcMar>
              <w:top w:w="120" w:type="dxa"/>
              <w:left w:w="120" w:type="dxa"/>
              <w:bottom w:w="120" w:type="dxa"/>
              <w:right w:w="120" w:type="dxa"/>
            </w:tcMar>
            <w:hideMark/>
          </w:tcPr>
          <w:p w14:paraId="66803582" w14:textId="77777777" w:rsidR="00D00FC5" w:rsidRDefault="00D00FC5" w:rsidP="00D00FC5">
            <w:r w:rsidRPr="00D00FC5">
              <w:t>Use reports and workspaces to manage the client relationship</w:t>
            </w:r>
          </w:p>
          <w:p w14:paraId="7BB5410E" w14:textId="77777777" w:rsidR="000937E0" w:rsidRPr="00D00FC5" w:rsidRDefault="000937E0" w:rsidP="00D00FC5"/>
        </w:tc>
      </w:tr>
    </w:tbl>
    <w:p w14:paraId="1FB679B3" w14:textId="77777777" w:rsidR="00D00FC5" w:rsidRPr="00D00FC5" w:rsidRDefault="00D00FC5" w:rsidP="00D00FC5">
      <w:pPr>
        <w:rPr>
          <w:b/>
          <w:bCs/>
        </w:rPr>
      </w:pPr>
      <w:r w:rsidRPr="00D00FC5">
        <w:rPr>
          <w:b/>
          <w:bCs/>
        </w:rPr>
        <w:t>Conclusion</w:t>
      </w:r>
    </w:p>
    <w:p w14:paraId="36678BFD" w14:textId="77777777" w:rsidR="00D00FC5" w:rsidRPr="00D00FC5" w:rsidRDefault="00D00FC5" w:rsidP="00D00FC5">
      <w:r w:rsidRPr="00D00FC5">
        <w:t>The NGIE-AI client growth assessment process is a structured, transparent, and actionable approach to converting prospects into clients. By surfacing specific gaps and strengths, it enables tailored service recommendations and supports ongoing client engagement. The process is especially effective for ecosystems seeking to unify diverse service domains under a single, client-centric growth platform.</w:t>
      </w:r>
    </w:p>
    <w:p w14:paraId="3D723915" w14:textId="023BD67E" w:rsidR="00D00FC5" w:rsidRDefault="00D00FC5" w:rsidP="00D00FC5"/>
    <w:p w14:paraId="1C941990" w14:textId="77777777" w:rsidR="000937E0" w:rsidRPr="00D00FC5" w:rsidRDefault="000937E0" w:rsidP="00D00FC5"/>
    <w:p w14:paraId="6204C21A" w14:textId="77777777" w:rsidR="00D00FC5" w:rsidRPr="000937E0" w:rsidRDefault="00D00FC5" w:rsidP="00D00FC5">
      <w:pPr>
        <w:rPr>
          <w:b/>
          <w:bCs/>
          <w:sz w:val="28"/>
          <w:szCs w:val="28"/>
        </w:rPr>
      </w:pPr>
      <w:r w:rsidRPr="000937E0">
        <w:rPr>
          <w:b/>
          <w:bCs/>
          <w:sz w:val="28"/>
          <w:szCs w:val="28"/>
        </w:rPr>
        <w:t>Potential Use Cases for NGIE-AI Platform in Local Ecosystem Growth Services</w:t>
      </w:r>
    </w:p>
    <w:p w14:paraId="3F0D27CB" w14:textId="77777777" w:rsidR="000937E0" w:rsidRPr="00D00FC5" w:rsidRDefault="000937E0" w:rsidP="00D00FC5">
      <w:pPr>
        <w:rPr>
          <w:b/>
          <w:bCs/>
        </w:rPr>
      </w:pPr>
    </w:p>
    <w:p w14:paraId="6B9759BA" w14:textId="77777777" w:rsidR="00D00FC5" w:rsidRPr="00D00FC5" w:rsidRDefault="00D00FC5" w:rsidP="00D00FC5">
      <w:pPr>
        <w:rPr>
          <w:b/>
          <w:bCs/>
        </w:rPr>
      </w:pPr>
      <w:r w:rsidRPr="00D00FC5">
        <w:rPr>
          <w:b/>
          <w:bCs/>
        </w:rPr>
        <w:t>1. Business Growth Assessments for Local Enterprises</w:t>
      </w:r>
    </w:p>
    <w:p w14:paraId="285A1F32" w14:textId="77777777" w:rsidR="00D00FC5" w:rsidRPr="00D00FC5" w:rsidRDefault="00D00FC5" w:rsidP="00D00FC5">
      <w:pPr>
        <w:numPr>
          <w:ilvl w:val="0"/>
          <w:numId w:val="10"/>
        </w:numPr>
      </w:pPr>
      <w:r w:rsidRPr="00D00FC5">
        <w:rPr>
          <w:b/>
          <w:bCs/>
        </w:rPr>
        <w:t>Use Case:</w:t>
      </w:r>
      <w:r w:rsidRPr="00D00FC5">
        <w:t> Local businesses (e.g., restaurants, retailers, service providers) complete a structured assessment to identify strengths, gaps, and receive a tailored growth roadmap.</w:t>
      </w:r>
    </w:p>
    <w:p w14:paraId="246B86ED" w14:textId="77777777" w:rsidR="00D00FC5" w:rsidRDefault="00D00FC5" w:rsidP="00D00FC5">
      <w:pPr>
        <w:numPr>
          <w:ilvl w:val="0"/>
          <w:numId w:val="10"/>
        </w:numPr>
      </w:pPr>
      <w:r w:rsidRPr="00D00FC5">
        <w:rPr>
          <w:b/>
          <w:bCs/>
        </w:rPr>
        <w:t>Example:</w:t>
      </w:r>
      <w:r w:rsidRPr="00D00FC5">
        <w:t> A restaurant uses the platform to discover critical gaps in training and workforce, leading to targeted service packages for staff development and operational improvements.</w:t>
      </w:r>
    </w:p>
    <w:p w14:paraId="32FC2169" w14:textId="77777777" w:rsidR="000937E0" w:rsidRPr="00D00FC5" w:rsidRDefault="000937E0" w:rsidP="000937E0">
      <w:pPr>
        <w:ind w:left="720"/>
      </w:pPr>
    </w:p>
    <w:p w14:paraId="4C23E9B2" w14:textId="77777777" w:rsidR="00D00FC5" w:rsidRPr="00D00FC5" w:rsidRDefault="00D00FC5" w:rsidP="00D00FC5">
      <w:pPr>
        <w:rPr>
          <w:b/>
          <w:bCs/>
        </w:rPr>
      </w:pPr>
      <w:r w:rsidRPr="00D00FC5">
        <w:rPr>
          <w:b/>
          <w:bCs/>
        </w:rPr>
        <w:t>2. Unified Lead Generation and Qualification Across Ecosystem Domains</w:t>
      </w:r>
    </w:p>
    <w:p w14:paraId="18C922F7" w14:textId="77777777" w:rsidR="00D00FC5" w:rsidRPr="00D00FC5" w:rsidRDefault="00D00FC5" w:rsidP="00D00FC5">
      <w:pPr>
        <w:numPr>
          <w:ilvl w:val="0"/>
          <w:numId w:val="11"/>
        </w:numPr>
      </w:pPr>
      <w:r w:rsidRPr="00D00FC5">
        <w:rPr>
          <w:b/>
          <w:bCs/>
        </w:rPr>
        <w:t>Use Case:</w:t>
      </w:r>
      <w:r w:rsidRPr="00D00FC5">
        <w:t> Ecosystem partners (e.g., technology firms, nonprofits, tourism boards) use the platform to drive traffic from their websites, qualify leads, and recommend relevant services.</w:t>
      </w:r>
    </w:p>
    <w:p w14:paraId="774F1446" w14:textId="77777777" w:rsidR="00D00FC5" w:rsidRDefault="00D00FC5" w:rsidP="00D00FC5">
      <w:pPr>
        <w:numPr>
          <w:ilvl w:val="0"/>
          <w:numId w:val="11"/>
        </w:numPr>
      </w:pPr>
      <w:r w:rsidRPr="00D00FC5">
        <w:rPr>
          <w:b/>
          <w:bCs/>
        </w:rPr>
        <w:t>Example:</w:t>
      </w:r>
      <w:r w:rsidRPr="00D00FC5">
        <w:t> A tourism board promotes local experience offers and uses the assessment to recommend marketing and digital presence improvements to hospitality businesses.</w:t>
      </w:r>
    </w:p>
    <w:p w14:paraId="2FC9CAA0" w14:textId="77777777" w:rsidR="00D00FC5" w:rsidRPr="00D00FC5" w:rsidRDefault="00D00FC5" w:rsidP="00D00FC5">
      <w:pPr>
        <w:rPr>
          <w:b/>
          <w:bCs/>
        </w:rPr>
      </w:pPr>
      <w:r w:rsidRPr="00D00FC5">
        <w:rPr>
          <w:b/>
          <w:bCs/>
        </w:rPr>
        <w:lastRenderedPageBreak/>
        <w:t>3. Tailored Service Packaging and Proposal Generation</w:t>
      </w:r>
    </w:p>
    <w:p w14:paraId="6B6F2614" w14:textId="77777777" w:rsidR="00D00FC5" w:rsidRPr="00D00FC5" w:rsidRDefault="00D00FC5" w:rsidP="00D00FC5">
      <w:pPr>
        <w:numPr>
          <w:ilvl w:val="0"/>
          <w:numId w:val="12"/>
        </w:numPr>
      </w:pPr>
      <w:r w:rsidRPr="00D00FC5">
        <w:rPr>
          <w:b/>
          <w:bCs/>
        </w:rPr>
        <w:t>Use Case:</w:t>
      </w:r>
      <w:r w:rsidRPr="00D00FC5">
        <w:t> Service providers use assessment results to create evidence-backed proposals and delivery plans for clients.</w:t>
      </w:r>
    </w:p>
    <w:p w14:paraId="2214B1D2" w14:textId="77777777" w:rsidR="00D00FC5" w:rsidRDefault="00D00FC5" w:rsidP="00D00FC5">
      <w:pPr>
        <w:numPr>
          <w:ilvl w:val="0"/>
          <w:numId w:val="12"/>
        </w:numPr>
      </w:pPr>
      <w:r w:rsidRPr="00D00FC5">
        <w:rPr>
          <w:b/>
          <w:bCs/>
        </w:rPr>
        <w:t>Example:</w:t>
      </w:r>
      <w:r w:rsidRPr="00D00FC5">
        <w:t xml:space="preserve"> A digital agency leverages </w:t>
      </w:r>
      <w:proofErr w:type="gramStart"/>
      <w:r w:rsidRPr="00D00FC5">
        <w:t>assessment data</w:t>
      </w:r>
      <w:proofErr w:type="gramEnd"/>
      <w:r w:rsidRPr="00D00FC5">
        <w:t xml:space="preserve"> to package </w:t>
      </w:r>
      <w:proofErr w:type="gramStart"/>
      <w:r w:rsidRPr="00D00FC5">
        <w:t>website</w:t>
      </w:r>
      <w:proofErr w:type="gramEnd"/>
      <w:r w:rsidRPr="00D00FC5">
        <w:t>, SEO, and automation services for a local retailer.</w:t>
      </w:r>
    </w:p>
    <w:p w14:paraId="7D696615" w14:textId="77777777" w:rsidR="000937E0" w:rsidRPr="00D00FC5" w:rsidRDefault="000937E0" w:rsidP="000937E0">
      <w:pPr>
        <w:ind w:left="720"/>
      </w:pPr>
    </w:p>
    <w:p w14:paraId="0EF69624" w14:textId="77777777" w:rsidR="00D00FC5" w:rsidRPr="00D00FC5" w:rsidRDefault="00D00FC5" w:rsidP="00D00FC5">
      <w:pPr>
        <w:rPr>
          <w:b/>
          <w:bCs/>
        </w:rPr>
      </w:pPr>
      <w:r w:rsidRPr="00D00FC5">
        <w:rPr>
          <w:b/>
          <w:bCs/>
        </w:rPr>
        <w:t>4. Marketplace Enablement and Partner Recommendations</w:t>
      </w:r>
    </w:p>
    <w:p w14:paraId="24EA962E" w14:textId="77777777" w:rsidR="00D00FC5" w:rsidRPr="00D00FC5" w:rsidRDefault="00D00FC5" w:rsidP="00D00FC5">
      <w:pPr>
        <w:numPr>
          <w:ilvl w:val="0"/>
          <w:numId w:val="13"/>
        </w:numPr>
      </w:pPr>
      <w:r w:rsidRPr="00D00FC5">
        <w:rPr>
          <w:b/>
          <w:bCs/>
        </w:rPr>
        <w:t>Use Case:</w:t>
      </w:r>
      <w:r w:rsidRPr="00D00FC5">
        <w:t> The platform connects businesses with marketplace products, partner services, and commerce opportunities based on identified needs.</w:t>
      </w:r>
    </w:p>
    <w:p w14:paraId="569037E7" w14:textId="77777777" w:rsidR="00D00FC5" w:rsidRDefault="00D00FC5" w:rsidP="00D00FC5">
      <w:pPr>
        <w:numPr>
          <w:ilvl w:val="0"/>
          <w:numId w:val="13"/>
        </w:numPr>
      </w:pPr>
      <w:r w:rsidRPr="00D00FC5">
        <w:rPr>
          <w:b/>
          <w:bCs/>
        </w:rPr>
        <w:t>Example:</w:t>
      </w:r>
      <w:r w:rsidRPr="00D00FC5">
        <w:t> A foodservice supplier is recommended to a restaurant needing procurement support, based on assessment findings.</w:t>
      </w:r>
    </w:p>
    <w:p w14:paraId="372FC8C8" w14:textId="77777777" w:rsidR="000937E0" w:rsidRPr="00D00FC5" w:rsidRDefault="000937E0" w:rsidP="000937E0"/>
    <w:p w14:paraId="75BD86E9" w14:textId="77777777" w:rsidR="00D00FC5" w:rsidRPr="00D00FC5" w:rsidRDefault="00D00FC5" w:rsidP="00D00FC5">
      <w:pPr>
        <w:rPr>
          <w:b/>
          <w:bCs/>
        </w:rPr>
      </w:pPr>
      <w:r w:rsidRPr="00D00FC5">
        <w:rPr>
          <w:b/>
          <w:bCs/>
        </w:rPr>
        <w:t>5. Training, Operations, and Staff Enablement</w:t>
      </w:r>
    </w:p>
    <w:p w14:paraId="02ED8B5D" w14:textId="77777777" w:rsidR="00D00FC5" w:rsidRPr="00D00FC5" w:rsidRDefault="00D00FC5" w:rsidP="00D00FC5">
      <w:pPr>
        <w:numPr>
          <w:ilvl w:val="0"/>
          <w:numId w:val="14"/>
        </w:numPr>
      </w:pPr>
      <w:r w:rsidRPr="00D00FC5">
        <w:rPr>
          <w:b/>
          <w:bCs/>
        </w:rPr>
        <w:t>Use Case:</w:t>
      </w:r>
      <w:r w:rsidRPr="00D00FC5">
        <w:t> Organizations identify operational gaps and access workshops, playbooks, and staff training resources tailored to their assessment results.</w:t>
      </w:r>
    </w:p>
    <w:p w14:paraId="6E0825DB" w14:textId="77777777" w:rsidR="00D00FC5" w:rsidRDefault="00D00FC5" w:rsidP="00D00FC5">
      <w:pPr>
        <w:numPr>
          <w:ilvl w:val="0"/>
          <w:numId w:val="14"/>
        </w:numPr>
      </w:pPr>
      <w:r w:rsidRPr="00D00FC5">
        <w:rPr>
          <w:b/>
          <w:bCs/>
        </w:rPr>
        <w:t>Example:</w:t>
      </w:r>
      <w:r w:rsidRPr="00D00FC5">
        <w:t> A nonprofit receives a custom training roadmap to improve program delivery and community engagement.</w:t>
      </w:r>
    </w:p>
    <w:p w14:paraId="283CC95A" w14:textId="77777777" w:rsidR="000937E0" w:rsidRPr="00D00FC5" w:rsidRDefault="000937E0" w:rsidP="000937E0"/>
    <w:p w14:paraId="49A12FCE" w14:textId="77777777" w:rsidR="00D00FC5" w:rsidRPr="00D00FC5" w:rsidRDefault="00D00FC5" w:rsidP="00D00FC5">
      <w:pPr>
        <w:rPr>
          <w:b/>
          <w:bCs/>
        </w:rPr>
      </w:pPr>
      <w:r w:rsidRPr="00D00FC5">
        <w:rPr>
          <w:b/>
          <w:bCs/>
        </w:rPr>
        <w:t>6. Client Workspace and Relationship Management</w:t>
      </w:r>
    </w:p>
    <w:p w14:paraId="47B3DC4F" w14:textId="77777777" w:rsidR="00D00FC5" w:rsidRPr="00D00FC5" w:rsidRDefault="00D00FC5" w:rsidP="00D00FC5">
      <w:pPr>
        <w:numPr>
          <w:ilvl w:val="0"/>
          <w:numId w:val="15"/>
        </w:numPr>
      </w:pPr>
      <w:r w:rsidRPr="00D00FC5">
        <w:rPr>
          <w:b/>
          <w:bCs/>
        </w:rPr>
        <w:t>Use Case:</w:t>
      </w:r>
      <w:r w:rsidRPr="00D00FC5">
        <w:t> Businesses and service providers use the platform's workspace features to manage proposals, reports, and ongoing client relationships.</w:t>
      </w:r>
    </w:p>
    <w:p w14:paraId="5A17A0CF" w14:textId="77777777" w:rsidR="00D00FC5" w:rsidRDefault="00D00FC5" w:rsidP="00D00FC5">
      <w:pPr>
        <w:numPr>
          <w:ilvl w:val="0"/>
          <w:numId w:val="15"/>
        </w:numPr>
      </w:pPr>
      <w:r w:rsidRPr="00D00FC5">
        <w:rPr>
          <w:b/>
          <w:bCs/>
        </w:rPr>
        <w:t>Example:</w:t>
      </w:r>
      <w:r w:rsidRPr="00D00FC5">
        <w:t> A consulting firm tracks client progress and delivers project artifacts through the platform's workspace.</w:t>
      </w:r>
    </w:p>
    <w:p w14:paraId="4B47CBEF" w14:textId="77777777" w:rsidR="000937E0" w:rsidRPr="00D00FC5" w:rsidRDefault="000937E0" w:rsidP="000937E0"/>
    <w:p w14:paraId="5781046F" w14:textId="77777777" w:rsidR="00D00FC5" w:rsidRPr="00D00FC5" w:rsidRDefault="00D00FC5" w:rsidP="00D00FC5">
      <w:pPr>
        <w:rPr>
          <w:b/>
          <w:bCs/>
        </w:rPr>
      </w:pPr>
      <w:r w:rsidRPr="00D00FC5">
        <w:rPr>
          <w:b/>
          <w:bCs/>
        </w:rPr>
        <w:t>7. Ecosystem-Wide Knowledge Sharing and Decision Support</w:t>
      </w:r>
    </w:p>
    <w:p w14:paraId="0B93EAFF" w14:textId="77777777" w:rsidR="00D00FC5" w:rsidRPr="00D00FC5" w:rsidRDefault="00D00FC5" w:rsidP="00D00FC5">
      <w:pPr>
        <w:numPr>
          <w:ilvl w:val="0"/>
          <w:numId w:val="16"/>
        </w:numPr>
      </w:pPr>
      <w:r w:rsidRPr="00D00FC5">
        <w:rPr>
          <w:b/>
          <w:bCs/>
        </w:rPr>
        <w:t>Use Case:</w:t>
      </w:r>
      <w:r w:rsidRPr="00D00FC5">
        <w:t> The platform aggregates knowledge from multiple domains, supporting search, review, and decision-making for ecosystem stakeholders.</w:t>
      </w:r>
    </w:p>
    <w:p w14:paraId="44AAF5DA" w14:textId="77777777" w:rsidR="00D00FC5" w:rsidRPr="00D00FC5" w:rsidRDefault="00D00FC5" w:rsidP="00D00FC5">
      <w:pPr>
        <w:numPr>
          <w:ilvl w:val="0"/>
          <w:numId w:val="16"/>
        </w:numPr>
      </w:pPr>
      <w:r w:rsidRPr="00D00FC5">
        <w:rPr>
          <w:b/>
          <w:bCs/>
        </w:rPr>
        <w:t>Example:</w:t>
      </w:r>
      <w:r w:rsidRPr="00D00FC5">
        <w:t> Local government agencies use the platform to identify common business challenges and coordinate support programs.</w:t>
      </w:r>
    </w:p>
    <w:p w14:paraId="6DA69564" w14:textId="77777777" w:rsidR="00D00FC5" w:rsidRPr="00D00FC5" w:rsidRDefault="00D00FC5" w:rsidP="00D00FC5">
      <w:pPr>
        <w:rPr>
          <w:b/>
          <w:bCs/>
        </w:rPr>
      </w:pPr>
      <w:r w:rsidRPr="00D00FC5">
        <w:rPr>
          <w:b/>
          <w:bCs/>
        </w:rPr>
        <w:lastRenderedPageBreak/>
        <w:t>Summary Table: Example Use Cases by Domain</w:t>
      </w:r>
    </w:p>
    <w:tbl>
      <w:tblPr>
        <w:tblW w:w="17400" w:type="dxa"/>
        <w:tblCellSpacing w:w="15" w:type="dxa"/>
        <w:tblCellMar>
          <w:left w:w="0" w:type="dxa"/>
          <w:right w:w="0" w:type="dxa"/>
        </w:tblCellMar>
        <w:tblLook w:val="04A0" w:firstRow="1" w:lastRow="0" w:firstColumn="1" w:lastColumn="0" w:noHBand="0" w:noVBand="1"/>
      </w:tblPr>
      <w:tblGrid>
        <w:gridCol w:w="4511"/>
        <w:gridCol w:w="12889"/>
      </w:tblGrid>
      <w:tr w:rsidR="00D00FC5" w:rsidRPr="00D00FC5" w14:paraId="1CAEFB37" w14:textId="77777777">
        <w:trPr>
          <w:tblHeader/>
          <w:tblCellSpacing w:w="15" w:type="dxa"/>
        </w:trPr>
        <w:tc>
          <w:tcPr>
            <w:tcW w:w="0" w:type="auto"/>
            <w:shd w:val="clear" w:color="auto" w:fill="E9E9E9"/>
            <w:tcMar>
              <w:top w:w="120" w:type="dxa"/>
              <w:left w:w="120" w:type="dxa"/>
              <w:bottom w:w="120" w:type="dxa"/>
              <w:right w:w="120" w:type="dxa"/>
            </w:tcMar>
            <w:hideMark/>
          </w:tcPr>
          <w:p w14:paraId="2ABE1E6E" w14:textId="77777777" w:rsidR="00D00FC5" w:rsidRPr="00D00FC5" w:rsidRDefault="00D00FC5" w:rsidP="00D00FC5">
            <w:pPr>
              <w:rPr>
                <w:b/>
                <w:bCs/>
              </w:rPr>
            </w:pPr>
            <w:r w:rsidRPr="00D00FC5">
              <w:rPr>
                <w:b/>
                <w:bCs/>
              </w:rPr>
              <w:t>Domain</w:t>
            </w:r>
          </w:p>
        </w:tc>
        <w:tc>
          <w:tcPr>
            <w:tcW w:w="0" w:type="auto"/>
            <w:shd w:val="clear" w:color="auto" w:fill="E9E9E9"/>
            <w:tcMar>
              <w:top w:w="120" w:type="dxa"/>
              <w:left w:w="120" w:type="dxa"/>
              <w:bottom w:w="120" w:type="dxa"/>
              <w:right w:w="120" w:type="dxa"/>
            </w:tcMar>
            <w:hideMark/>
          </w:tcPr>
          <w:p w14:paraId="5AA23A9A" w14:textId="77777777" w:rsidR="00D00FC5" w:rsidRPr="00D00FC5" w:rsidRDefault="00D00FC5" w:rsidP="00D00FC5">
            <w:pPr>
              <w:rPr>
                <w:b/>
                <w:bCs/>
              </w:rPr>
            </w:pPr>
            <w:r w:rsidRPr="00D00FC5">
              <w:rPr>
                <w:b/>
                <w:bCs/>
              </w:rPr>
              <w:t>Example Use Case</w:t>
            </w:r>
          </w:p>
        </w:tc>
      </w:tr>
      <w:tr w:rsidR="00D00FC5" w:rsidRPr="00D00FC5" w14:paraId="12E92629" w14:textId="77777777">
        <w:trPr>
          <w:tblCellSpacing w:w="15" w:type="dxa"/>
        </w:trPr>
        <w:tc>
          <w:tcPr>
            <w:tcW w:w="0" w:type="auto"/>
            <w:shd w:val="clear" w:color="auto" w:fill="FFFFFF"/>
            <w:tcMar>
              <w:top w:w="120" w:type="dxa"/>
              <w:left w:w="120" w:type="dxa"/>
              <w:bottom w:w="120" w:type="dxa"/>
              <w:right w:w="120" w:type="dxa"/>
            </w:tcMar>
            <w:hideMark/>
          </w:tcPr>
          <w:p w14:paraId="7FE83B94" w14:textId="77777777" w:rsidR="00D00FC5" w:rsidRPr="00D00FC5" w:rsidRDefault="00D00FC5" w:rsidP="00D00FC5">
            <w:r w:rsidRPr="00D00FC5">
              <w:t>GiNi Tech</w:t>
            </w:r>
          </w:p>
        </w:tc>
        <w:tc>
          <w:tcPr>
            <w:tcW w:w="0" w:type="auto"/>
            <w:shd w:val="clear" w:color="auto" w:fill="FFFFFF"/>
            <w:tcMar>
              <w:top w:w="120" w:type="dxa"/>
              <w:left w:w="120" w:type="dxa"/>
              <w:bottom w:w="120" w:type="dxa"/>
              <w:right w:w="120" w:type="dxa"/>
            </w:tcMar>
            <w:hideMark/>
          </w:tcPr>
          <w:p w14:paraId="0B428B5D" w14:textId="77777777" w:rsidR="00D00FC5" w:rsidRPr="00D00FC5" w:rsidRDefault="00D00FC5" w:rsidP="00D00FC5">
            <w:r w:rsidRPr="00D00FC5">
              <w:t>AI readiness and automation planning</w:t>
            </w:r>
          </w:p>
        </w:tc>
      </w:tr>
      <w:tr w:rsidR="00D00FC5" w:rsidRPr="00D00FC5" w14:paraId="64388973" w14:textId="77777777">
        <w:trPr>
          <w:tblCellSpacing w:w="15" w:type="dxa"/>
        </w:trPr>
        <w:tc>
          <w:tcPr>
            <w:tcW w:w="0" w:type="auto"/>
            <w:shd w:val="clear" w:color="auto" w:fill="FFFFFF"/>
            <w:tcMar>
              <w:top w:w="120" w:type="dxa"/>
              <w:left w:w="120" w:type="dxa"/>
              <w:bottom w:w="120" w:type="dxa"/>
              <w:right w:w="120" w:type="dxa"/>
            </w:tcMar>
            <w:hideMark/>
          </w:tcPr>
          <w:p w14:paraId="1569AF4A" w14:textId="77777777" w:rsidR="00D00FC5" w:rsidRPr="00D00FC5" w:rsidRDefault="00D00FC5" w:rsidP="00D00FC5">
            <w:r w:rsidRPr="00D00FC5">
              <w:t>eRiverSpace</w:t>
            </w:r>
          </w:p>
        </w:tc>
        <w:tc>
          <w:tcPr>
            <w:tcW w:w="0" w:type="auto"/>
            <w:shd w:val="clear" w:color="auto" w:fill="FFFFFF"/>
            <w:tcMar>
              <w:top w:w="120" w:type="dxa"/>
              <w:left w:w="120" w:type="dxa"/>
              <w:bottom w:w="120" w:type="dxa"/>
              <w:right w:w="120" w:type="dxa"/>
            </w:tcMar>
            <w:hideMark/>
          </w:tcPr>
          <w:p w14:paraId="12766CCC" w14:textId="77777777" w:rsidR="00D00FC5" w:rsidRPr="00D00FC5" w:rsidRDefault="00D00FC5" w:rsidP="00D00FC5">
            <w:r w:rsidRPr="00D00FC5">
              <w:t>Nonprofit training and community program assessment</w:t>
            </w:r>
          </w:p>
        </w:tc>
      </w:tr>
      <w:tr w:rsidR="00D00FC5" w:rsidRPr="00D00FC5" w14:paraId="2173D8D3" w14:textId="77777777">
        <w:trPr>
          <w:tblCellSpacing w:w="15" w:type="dxa"/>
        </w:trPr>
        <w:tc>
          <w:tcPr>
            <w:tcW w:w="0" w:type="auto"/>
            <w:shd w:val="clear" w:color="auto" w:fill="FFFFFF"/>
            <w:tcMar>
              <w:top w:w="120" w:type="dxa"/>
              <w:left w:w="120" w:type="dxa"/>
              <w:bottom w:w="120" w:type="dxa"/>
              <w:right w:w="120" w:type="dxa"/>
            </w:tcMar>
            <w:hideMark/>
          </w:tcPr>
          <w:p w14:paraId="67FDFB95" w14:textId="77777777" w:rsidR="00D00FC5" w:rsidRPr="00D00FC5" w:rsidRDefault="00D00FC5" w:rsidP="00D00FC5">
            <w:r w:rsidRPr="00D00FC5">
              <w:t xml:space="preserve">Ellijay </w:t>
            </w:r>
            <w:proofErr w:type="spellStart"/>
            <w:r w:rsidRPr="00D00FC5">
              <w:t>RiverSpace</w:t>
            </w:r>
            <w:proofErr w:type="spellEnd"/>
          </w:p>
        </w:tc>
        <w:tc>
          <w:tcPr>
            <w:tcW w:w="0" w:type="auto"/>
            <w:shd w:val="clear" w:color="auto" w:fill="FFFFFF"/>
            <w:tcMar>
              <w:top w:w="120" w:type="dxa"/>
              <w:left w:w="120" w:type="dxa"/>
              <w:bottom w:w="120" w:type="dxa"/>
              <w:right w:w="120" w:type="dxa"/>
            </w:tcMar>
            <w:hideMark/>
          </w:tcPr>
          <w:p w14:paraId="15A9782B" w14:textId="77777777" w:rsidR="00D00FC5" w:rsidRPr="00D00FC5" w:rsidRDefault="00D00FC5" w:rsidP="00D00FC5">
            <w:r w:rsidRPr="00D00FC5">
              <w:t>Tourism marketing and hospitality service packaging</w:t>
            </w:r>
          </w:p>
        </w:tc>
      </w:tr>
      <w:tr w:rsidR="00D00FC5" w:rsidRPr="00D00FC5" w14:paraId="35126030" w14:textId="77777777">
        <w:trPr>
          <w:tblCellSpacing w:w="15" w:type="dxa"/>
        </w:trPr>
        <w:tc>
          <w:tcPr>
            <w:tcW w:w="0" w:type="auto"/>
            <w:shd w:val="clear" w:color="auto" w:fill="FFFFFF"/>
            <w:tcMar>
              <w:top w:w="120" w:type="dxa"/>
              <w:left w:w="120" w:type="dxa"/>
              <w:bottom w:w="120" w:type="dxa"/>
              <w:right w:w="120" w:type="dxa"/>
            </w:tcMar>
            <w:hideMark/>
          </w:tcPr>
          <w:p w14:paraId="7451C9E7" w14:textId="77777777" w:rsidR="00D00FC5" w:rsidRPr="00D00FC5" w:rsidRDefault="00D00FC5" w:rsidP="00D00FC5">
            <w:r w:rsidRPr="00D00FC5">
              <w:t>Giniverse108</w:t>
            </w:r>
          </w:p>
        </w:tc>
        <w:tc>
          <w:tcPr>
            <w:tcW w:w="0" w:type="auto"/>
            <w:shd w:val="clear" w:color="auto" w:fill="FFFFFF"/>
            <w:tcMar>
              <w:top w:w="120" w:type="dxa"/>
              <w:left w:w="120" w:type="dxa"/>
              <w:bottom w:w="120" w:type="dxa"/>
              <w:right w:w="120" w:type="dxa"/>
            </w:tcMar>
            <w:hideMark/>
          </w:tcPr>
          <w:p w14:paraId="00BB860D" w14:textId="77777777" w:rsidR="00D00FC5" w:rsidRPr="00D00FC5" w:rsidRDefault="00D00FC5" w:rsidP="00D00FC5">
            <w:r w:rsidRPr="00D00FC5">
              <w:t>Retail marketplace enablement and product pathways</w:t>
            </w:r>
          </w:p>
        </w:tc>
      </w:tr>
      <w:tr w:rsidR="00D00FC5" w:rsidRPr="00D00FC5" w14:paraId="0CC51531" w14:textId="77777777">
        <w:trPr>
          <w:tblCellSpacing w:w="15" w:type="dxa"/>
        </w:trPr>
        <w:tc>
          <w:tcPr>
            <w:tcW w:w="0" w:type="auto"/>
            <w:shd w:val="clear" w:color="auto" w:fill="FFFFFF"/>
            <w:tcMar>
              <w:top w:w="120" w:type="dxa"/>
              <w:left w:w="120" w:type="dxa"/>
              <w:bottom w:w="120" w:type="dxa"/>
              <w:right w:w="120" w:type="dxa"/>
            </w:tcMar>
            <w:hideMark/>
          </w:tcPr>
          <w:p w14:paraId="1D00E583" w14:textId="77777777" w:rsidR="00D00FC5" w:rsidRPr="00D00FC5" w:rsidRDefault="00D00FC5" w:rsidP="00D00FC5">
            <w:proofErr w:type="spellStart"/>
            <w:r w:rsidRPr="00D00FC5">
              <w:t>FoodTechSupply</w:t>
            </w:r>
            <w:proofErr w:type="spellEnd"/>
          </w:p>
        </w:tc>
        <w:tc>
          <w:tcPr>
            <w:tcW w:w="0" w:type="auto"/>
            <w:shd w:val="clear" w:color="auto" w:fill="FFFFFF"/>
            <w:tcMar>
              <w:top w:w="120" w:type="dxa"/>
              <w:left w:w="120" w:type="dxa"/>
              <w:bottom w:w="120" w:type="dxa"/>
              <w:right w:w="120" w:type="dxa"/>
            </w:tcMar>
            <w:hideMark/>
          </w:tcPr>
          <w:p w14:paraId="45A997CD" w14:textId="77777777" w:rsidR="00D00FC5" w:rsidRDefault="00D00FC5" w:rsidP="00D00FC5">
            <w:proofErr w:type="gramStart"/>
            <w:r w:rsidRPr="00D00FC5">
              <w:t>Foodservice</w:t>
            </w:r>
            <w:proofErr w:type="gramEnd"/>
            <w:r w:rsidRPr="00D00FC5">
              <w:t xml:space="preserve"> procurement and operational support</w:t>
            </w:r>
          </w:p>
          <w:p w14:paraId="467189ED" w14:textId="77777777" w:rsidR="000937E0" w:rsidRPr="00D00FC5" w:rsidRDefault="000937E0" w:rsidP="00D00FC5"/>
        </w:tc>
      </w:tr>
    </w:tbl>
    <w:p w14:paraId="7FCAAA8D" w14:textId="77777777" w:rsidR="00D00FC5" w:rsidRPr="00D00FC5" w:rsidRDefault="00D00FC5" w:rsidP="00D00FC5">
      <w:pPr>
        <w:rPr>
          <w:b/>
          <w:bCs/>
        </w:rPr>
      </w:pPr>
      <w:r w:rsidRPr="00D00FC5">
        <w:rPr>
          <w:b/>
          <w:bCs/>
        </w:rPr>
        <w:t>Conclusion</w:t>
      </w:r>
    </w:p>
    <w:p w14:paraId="1CFDD471" w14:textId="77777777" w:rsidR="00D00FC5" w:rsidRPr="00D00FC5" w:rsidRDefault="00D00FC5" w:rsidP="00D00FC5">
      <w:r w:rsidRPr="00D00FC5">
        <w:t xml:space="preserve">The NGIE-AI platform enables a wide range of use cases for local ecosystem growth services by providing structured assessments, </w:t>
      </w:r>
      <w:proofErr w:type="gramStart"/>
      <w:r w:rsidRPr="00D00FC5">
        <w:t>actionable</w:t>
      </w:r>
      <w:proofErr w:type="gramEnd"/>
      <w:r w:rsidRPr="00D00FC5">
        <w:t xml:space="preserve"> recommendations, and a unified backbone for service delivery. Its flexibility allows each domain to promote its unique offers while contributing to a cohesive, client-centric growth journey.</w:t>
      </w:r>
    </w:p>
    <w:p w14:paraId="50CBB835" w14:textId="6BE3B48C" w:rsidR="00D00FC5" w:rsidRPr="00D00FC5" w:rsidRDefault="00D00FC5" w:rsidP="00D00FC5"/>
    <w:p w14:paraId="3266BC32" w14:textId="77777777" w:rsidR="00D00FC5" w:rsidRPr="000937E0" w:rsidRDefault="00D00FC5" w:rsidP="00D00FC5">
      <w:pPr>
        <w:rPr>
          <w:b/>
          <w:bCs/>
          <w:sz w:val="28"/>
          <w:szCs w:val="28"/>
        </w:rPr>
      </w:pPr>
      <w:r w:rsidRPr="000937E0">
        <w:rPr>
          <w:b/>
          <w:bCs/>
          <w:sz w:val="28"/>
          <w:szCs w:val="28"/>
        </w:rPr>
        <w:t>NGIE-AI Platform's Deterministic Business Knowledge System: Details</w:t>
      </w:r>
    </w:p>
    <w:p w14:paraId="1FC015B4" w14:textId="77777777" w:rsidR="000937E0" w:rsidRPr="00D00FC5" w:rsidRDefault="000937E0" w:rsidP="00D00FC5">
      <w:pPr>
        <w:rPr>
          <w:b/>
          <w:bCs/>
        </w:rPr>
      </w:pPr>
    </w:p>
    <w:p w14:paraId="2A4E9611" w14:textId="77777777" w:rsidR="00D00FC5" w:rsidRPr="00D00FC5" w:rsidRDefault="00D00FC5" w:rsidP="00D00FC5">
      <w:pPr>
        <w:rPr>
          <w:b/>
          <w:bCs/>
        </w:rPr>
      </w:pPr>
      <w:r w:rsidRPr="00D00FC5">
        <w:rPr>
          <w:b/>
          <w:bCs/>
        </w:rPr>
        <w:t>1. What Makes It Deterministic?</w:t>
      </w:r>
    </w:p>
    <w:p w14:paraId="23DFE417" w14:textId="77777777" w:rsidR="00D00FC5" w:rsidRPr="00D00FC5" w:rsidRDefault="00D00FC5" w:rsidP="00D00FC5">
      <w:pPr>
        <w:numPr>
          <w:ilvl w:val="0"/>
          <w:numId w:val="17"/>
        </w:numPr>
      </w:pPr>
      <w:r w:rsidRPr="00D00FC5">
        <w:rPr>
          <w:b/>
          <w:bCs/>
        </w:rPr>
        <w:t>No AI API Dependency:</w:t>
      </w:r>
      <w:r w:rsidRPr="00D00FC5">
        <w:t> The platform does not rely on external AI APIs or black-box models. Instead, it uses structured logic and curated knowledge objects from ecosystem websites and domains.</w:t>
      </w:r>
    </w:p>
    <w:p w14:paraId="5F3E1EFE" w14:textId="77777777" w:rsidR="00D00FC5" w:rsidRPr="00D00FC5" w:rsidRDefault="00D00FC5" w:rsidP="00D00FC5">
      <w:pPr>
        <w:numPr>
          <w:ilvl w:val="0"/>
          <w:numId w:val="17"/>
        </w:numPr>
      </w:pPr>
      <w:r w:rsidRPr="00D00FC5">
        <w:rPr>
          <w:b/>
          <w:bCs/>
        </w:rPr>
        <w:t>Evidence-Backed Recommendations:</w:t>
      </w:r>
      <w:r w:rsidRPr="00D00FC5">
        <w:t> All recommendations and assessments are generated from explicit, reviewable knowledge objects, not probabilistic or opaque AI outputs.</w:t>
      </w:r>
    </w:p>
    <w:p w14:paraId="6D37F1E7" w14:textId="77777777" w:rsidR="00D00FC5" w:rsidRPr="00D00FC5" w:rsidRDefault="00D00FC5" w:rsidP="00D00FC5">
      <w:pPr>
        <w:numPr>
          <w:ilvl w:val="0"/>
          <w:numId w:val="17"/>
        </w:numPr>
      </w:pPr>
      <w:r w:rsidRPr="00D00FC5">
        <w:rPr>
          <w:b/>
          <w:bCs/>
        </w:rPr>
        <w:t>Repeatable and Transparent:</w:t>
      </w:r>
      <w:r w:rsidRPr="00D00FC5">
        <w:t> The same input always produces the same output, ensuring consistency and trust in the results.</w:t>
      </w:r>
    </w:p>
    <w:p w14:paraId="16481FE2" w14:textId="77777777" w:rsidR="00D00FC5" w:rsidRPr="00D00FC5" w:rsidRDefault="00D00FC5" w:rsidP="00D00FC5">
      <w:pPr>
        <w:rPr>
          <w:b/>
          <w:bCs/>
        </w:rPr>
      </w:pPr>
      <w:r w:rsidRPr="00D00FC5">
        <w:rPr>
          <w:b/>
          <w:bCs/>
        </w:rPr>
        <w:lastRenderedPageBreak/>
        <w:t>2. How the System Works</w:t>
      </w:r>
    </w:p>
    <w:p w14:paraId="67FBE968" w14:textId="77777777" w:rsidR="00D00FC5" w:rsidRPr="00D00FC5" w:rsidRDefault="00D00FC5" w:rsidP="00D00FC5">
      <w:pPr>
        <w:numPr>
          <w:ilvl w:val="0"/>
          <w:numId w:val="18"/>
        </w:numPr>
      </w:pPr>
      <w:r w:rsidRPr="00D00FC5">
        <w:rPr>
          <w:b/>
          <w:bCs/>
        </w:rPr>
        <w:t>Knowledge Conversion:</w:t>
      </w:r>
      <w:r w:rsidRPr="00D00FC5">
        <w:t> The platform ingests content from ecosystem websites (e.g., service offers, events, operational insights) and converts it into structured knowledge, relationships, and business intelligence.</w:t>
      </w:r>
    </w:p>
    <w:p w14:paraId="46361F7C" w14:textId="77777777" w:rsidR="00D00FC5" w:rsidRPr="00D00FC5" w:rsidRDefault="00D00FC5" w:rsidP="00D00FC5">
      <w:pPr>
        <w:numPr>
          <w:ilvl w:val="0"/>
          <w:numId w:val="18"/>
        </w:numPr>
      </w:pPr>
      <w:r w:rsidRPr="00D00FC5">
        <w:rPr>
          <w:b/>
          <w:bCs/>
        </w:rPr>
        <w:t>Assessment-Led Process:</w:t>
      </w:r>
      <w:r w:rsidRPr="00D00FC5">
        <w:t> Prospects or clients complete a structured assessment, which references the curated knowledge base to:</w:t>
      </w:r>
    </w:p>
    <w:p w14:paraId="2562B6AF" w14:textId="77777777" w:rsidR="00D00FC5" w:rsidRPr="00D00FC5" w:rsidRDefault="00D00FC5" w:rsidP="00D00FC5">
      <w:pPr>
        <w:numPr>
          <w:ilvl w:val="1"/>
          <w:numId w:val="18"/>
        </w:numPr>
      </w:pPr>
      <w:r w:rsidRPr="00D00FC5">
        <w:t>Score business capabilities</w:t>
      </w:r>
    </w:p>
    <w:p w14:paraId="57071ADC" w14:textId="77777777" w:rsidR="00D00FC5" w:rsidRPr="00D00FC5" w:rsidRDefault="00D00FC5" w:rsidP="00D00FC5">
      <w:pPr>
        <w:numPr>
          <w:ilvl w:val="1"/>
          <w:numId w:val="18"/>
        </w:numPr>
      </w:pPr>
      <w:r w:rsidRPr="00D00FC5">
        <w:t>Identify strengths and critical gaps</w:t>
      </w:r>
    </w:p>
    <w:p w14:paraId="469E481B" w14:textId="77777777" w:rsidR="00D00FC5" w:rsidRPr="00D00FC5" w:rsidRDefault="00D00FC5" w:rsidP="00D00FC5">
      <w:pPr>
        <w:numPr>
          <w:ilvl w:val="1"/>
          <w:numId w:val="18"/>
        </w:numPr>
      </w:pPr>
      <w:r w:rsidRPr="00D00FC5">
        <w:t>Recommend specific services, products, or partners</w:t>
      </w:r>
    </w:p>
    <w:p w14:paraId="41411A03" w14:textId="77777777" w:rsidR="00D00FC5" w:rsidRDefault="00D00FC5" w:rsidP="00D00FC5">
      <w:pPr>
        <w:numPr>
          <w:ilvl w:val="0"/>
          <w:numId w:val="18"/>
        </w:numPr>
      </w:pPr>
      <w:r w:rsidRPr="00D00FC5">
        <w:rPr>
          <w:b/>
          <w:bCs/>
        </w:rPr>
        <w:t>Unified Backbone:</w:t>
      </w:r>
      <w:r w:rsidRPr="00D00FC5">
        <w:t xml:space="preserve"> Every ecosystem domain (e.g., technology, nonprofit, tourism, retail, foodservice) plugs into the same platform, allowing for cross-domain recommendations and </w:t>
      </w:r>
      <w:proofErr w:type="gramStart"/>
      <w:r w:rsidRPr="00D00FC5">
        <w:t>a unified</w:t>
      </w:r>
      <w:proofErr w:type="gramEnd"/>
      <w:r w:rsidRPr="00D00FC5">
        <w:t xml:space="preserve"> client experience.</w:t>
      </w:r>
    </w:p>
    <w:p w14:paraId="44852E6A" w14:textId="77777777" w:rsidR="000937E0" w:rsidRPr="00D00FC5" w:rsidRDefault="000937E0" w:rsidP="000937E0"/>
    <w:p w14:paraId="798FB5A2" w14:textId="77777777" w:rsidR="00D00FC5" w:rsidRPr="00D00FC5" w:rsidRDefault="00D00FC5" w:rsidP="00D00FC5">
      <w:pPr>
        <w:rPr>
          <w:b/>
          <w:bCs/>
        </w:rPr>
      </w:pPr>
      <w:r w:rsidRPr="00D00FC5">
        <w:rPr>
          <w:b/>
          <w:bCs/>
        </w:rPr>
        <w:t>3. Key Features and Benefits</w:t>
      </w:r>
    </w:p>
    <w:p w14:paraId="1938122C" w14:textId="77777777" w:rsidR="00D00FC5" w:rsidRPr="00D00FC5" w:rsidRDefault="00D00FC5" w:rsidP="00D00FC5">
      <w:pPr>
        <w:numPr>
          <w:ilvl w:val="0"/>
          <w:numId w:val="19"/>
        </w:numPr>
      </w:pPr>
      <w:r w:rsidRPr="00D00FC5">
        <w:rPr>
          <w:b/>
          <w:bCs/>
        </w:rPr>
        <w:t>Structured Growth Assessments:</w:t>
      </w:r>
      <w:r w:rsidRPr="00D00FC5">
        <w:t> Businesses receive a capability score, gap analysis, and tailored roadmap (e.g., 42/100 score for "El Rey Cantina" with critical gaps in Training and Workforce).</w:t>
      </w:r>
    </w:p>
    <w:p w14:paraId="171DE174" w14:textId="77777777" w:rsidR="00D00FC5" w:rsidRPr="00D00FC5" w:rsidRDefault="00D00FC5" w:rsidP="00D00FC5">
      <w:pPr>
        <w:numPr>
          <w:ilvl w:val="0"/>
          <w:numId w:val="19"/>
        </w:numPr>
      </w:pPr>
      <w:r w:rsidRPr="00D00FC5">
        <w:rPr>
          <w:b/>
          <w:bCs/>
        </w:rPr>
        <w:t>Reusable Business Intelligence:</w:t>
      </w:r>
      <w:r w:rsidRPr="00D00FC5">
        <w:t> The knowledge foundation supports search, review, graph relationships, decision-making, and future client products.</w:t>
      </w:r>
    </w:p>
    <w:p w14:paraId="705ECCD8" w14:textId="77777777" w:rsidR="00D00FC5" w:rsidRPr="00D00FC5" w:rsidRDefault="00D00FC5" w:rsidP="00D00FC5">
      <w:pPr>
        <w:numPr>
          <w:ilvl w:val="0"/>
          <w:numId w:val="19"/>
        </w:numPr>
      </w:pPr>
      <w:r w:rsidRPr="00D00FC5">
        <w:rPr>
          <w:b/>
          <w:bCs/>
        </w:rPr>
        <w:t>Service Packaging:</w:t>
      </w:r>
      <w:r w:rsidRPr="00D00FC5">
        <w:t> Assessment results are directly linked to actionable service packages, proposals, and delivery plans.</w:t>
      </w:r>
    </w:p>
    <w:p w14:paraId="7FE57306" w14:textId="77777777" w:rsidR="00D00FC5" w:rsidRDefault="00D00FC5" w:rsidP="00D00FC5">
      <w:pPr>
        <w:numPr>
          <w:ilvl w:val="0"/>
          <w:numId w:val="19"/>
        </w:numPr>
      </w:pPr>
      <w:r w:rsidRPr="00D00FC5">
        <w:rPr>
          <w:b/>
          <w:bCs/>
        </w:rPr>
        <w:t>Client Workspace:</w:t>
      </w:r>
      <w:r w:rsidRPr="00D00FC5">
        <w:t> Reports, proposals, and project plans are managed within the platform, supporting ongoing client relationships.</w:t>
      </w:r>
    </w:p>
    <w:p w14:paraId="2B55625B" w14:textId="77777777" w:rsidR="000937E0" w:rsidRPr="00D00FC5" w:rsidRDefault="000937E0" w:rsidP="000937E0">
      <w:pPr>
        <w:ind w:left="720"/>
      </w:pPr>
    </w:p>
    <w:p w14:paraId="207AB76D" w14:textId="77777777" w:rsidR="00D00FC5" w:rsidRPr="00D00FC5" w:rsidRDefault="00D00FC5" w:rsidP="00D00FC5">
      <w:pPr>
        <w:rPr>
          <w:b/>
          <w:bCs/>
        </w:rPr>
      </w:pPr>
      <w:r w:rsidRPr="00D00FC5">
        <w:rPr>
          <w:b/>
          <w:bCs/>
        </w:rPr>
        <w:t>4. Example: El Rey Cantina</w:t>
      </w:r>
    </w:p>
    <w:p w14:paraId="1EDB8905" w14:textId="77777777" w:rsidR="00D00FC5" w:rsidRPr="00D00FC5" w:rsidRDefault="00D00FC5" w:rsidP="00D00FC5">
      <w:pPr>
        <w:numPr>
          <w:ilvl w:val="0"/>
          <w:numId w:val="20"/>
        </w:numPr>
      </w:pPr>
      <w:r w:rsidRPr="00D00FC5">
        <w:t>The assessment identified strengths in Digital Presence, Technology, and Marketing, but flagged Training and Workforce as critical gaps.</w:t>
      </w:r>
    </w:p>
    <w:p w14:paraId="67245609" w14:textId="77777777" w:rsidR="00D00FC5" w:rsidRDefault="00D00FC5" w:rsidP="00D00FC5">
      <w:pPr>
        <w:numPr>
          <w:ilvl w:val="0"/>
          <w:numId w:val="20"/>
        </w:numPr>
      </w:pPr>
      <w:r w:rsidRPr="00D00FC5">
        <w:t>This led to a targeted service package proposal, demonstrating how deterministic recommendations turn into concrete business actions.</w:t>
      </w:r>
    </w:p>
    <w:p w14:paraId="0F8BE7E0" w14:textId="77777777" w:rsidR="000937E0" w:rsidRPr="00D00FC5" w:rsidRDefault="000937E0" w:rsidP="000937E0"/>
    <w:p w14:paraId="78059393" w14:textId="77777777" w:rsidR="00D00FC5" w:rsidRPr="00D00FC5" w:rsidRDefault="00D00FC5" w:rsidP="00D00FC5">
      <w:pPr>
        <w:rPr>
          <w:b/>
          <w:bCs/>
        </w:rPr>
      </w:pPr>
      <w:r w:rsidRPr="00D00FC5">
        <w:rPr>
          <w:b/>
          <w:bCs/>
        </w:rPr>
        <w:lastRenderedPageBreak/>
        <w:t>5. Summary Table: Deterministic System Flow</w:t>
      </w:r>
    </w:p>
    <w:tbl>
      <w:tblPr>
        <w:tblW w:w="17400" w:type="dxa"/>
        <w:tblCellSpacing w:w="15" w:type="dxa"/>
        <w:tblCellMar>
          <w:left w:w="0" w:type="dxa"/>
          <w:right w:w="0" w:type="dxa"/>
        </w:tblCellMar>
        <w:tblLook w:val="04A0" w:firstRow="1" w:lastRow="0" w:firstColumn="1" w:lastColumn="0" w:noHBand="0" w:noVBand="1"/>
      </w:tblPr>
      <w:tblGrid>
        <w:gridCol w:w="2514"/>
        <w:gridCol w:w="14886"/>
      </w:tblGrid>
      <w:tr w:rsidR="00D00FC5" w:rsidRPr="00D00FC5" w14:paraId="65E02E29" w14:textId="77777777">
        <w:trPr>
          <w:tblHeader/>
          <w:tblCellSpacing w:w="15" w:type="dxa"/>
        </w:trPr>
        <w:tc>
          <w:tcPr>
            <w:tcW w:w="0" w:type="auto"/>
            <w:shd w:val="clear" w:color="auto" w:fill="E9E9E9"/>
            <w:tcMar>
              <w:top w:w="120" w:type="dxa"/>
              <w:left w:w="120" w:type="dxa"/>
              <w:bottom w:w="120" w:type="dxa"/>
              <w:right w:w="120" w:type="dxa"/>
            </w:tcMar>
            <w:hideMark/>
          </w:tcPr>
          <w:p w14:paraId="08FB555C" w14:textId="77777777" w:rsidR="00D00FC5" w:rsidRPr="00D00FC5" w:rsidRDefault="00D00FC5" w:rsidP="00D00FC5">
            <w:pPr>
              <w:rPr>
                <w:b/>
                <w:bCs/>
              </w:rPr>
            </w:pPr>
            <w:r w:rsidRPr="00D00FC5">
              <w:rPr>
                <w:b/>
                <w:bCs/>
              </w:rPr>
              <w:t>Step</w:t>
            </w:r>
          </w:p>
        </w:tc>
        <w:tc>
          <w:tcPr>
            <w:tcW w:w="0" w:type="auto"/>
            <w:shd w:val="clear" w:color="auto" w:fill="E9E9E9"/>
            <w:tcMar>
              <w:top w:w="120" w:type="dxa"/>
              <w:left w:w="120" w:type="dxa"/>
              <w:bottom w:w="120" w:type="dxa"/>
              <w:right w:w="120" w:type="dxa"/>
            </w:tcMar>
            <w:hideMark/>
          </w:tcPr>
          <w:p w14:paraId="2D064DB7" w14:textId="77777777" w:rsidR="00D00FC5" w:rsidRPr="00D00FC5" w:rsidRDefault="00D00FC5" w:rsidP="00D00FC5">
            <w:pPr>
              <w:rPr>
                <w:b/>
                <w:bCs/>
              </w:rPr>
            </w:pPr>
            <w:r w:rsidRPr="00D00FC5">
              <w:rPr>
                <w:b/>
                <w:bCs/>
              </w:rPr>
              <w:t>Description</w:t>
            </w:r>
          </w:p>
        </w:tc>
      </w:tr>
      <w:tr w:rsidR="00D00FC5" w:rsidRPr="00D00FC5" w14:paraId="1A58C9C5" w14:textId="77777777">
        <w:trPr>
          <w:tblCellSpacing w:w="15" w:type="dxa"/>
        </w:trPr>
        <w:tc>
          <w:tcPr>
            <w:tcW w:w="0" w:type="auto"/>
            <w:shd w:val="clear" w:color="auto" w:fill="FFFFFF"/>
            <w:tcMar>
              <w:top w:w="120" w:type="dxa"/>
              <w:left w:w="120" w:type="dxa"/>
              <w:bottom w:w="120" w:type="dxa"/>
              <w:right w:w="120" w:type="dxa"/>
            </w:tcMar>
            <w:hideMark/>
          </w:tcPr>
          <w:p w14:paraId="6457BC13" w14:textId="77777777" w:rsidR="00D00FC5" w:rsidRPr="00D00FC5" w:rsidRDefault="00D00FC5" w:rsidP="00D00FC5">
            <w:r w:rsidRPr="00D00FC5">
              <w:t>Input</w:t>
            </w:r>
          </w:p>
        </w:tc>
        <w:tc>
          <w:tcPr>
            <w:tcW w:w="0" w:type="auto"/>
            <w:shd w:val="clear" w:color="auto" w:fill="FFFFFF"/>
            <w:tcMar>
              <w:top w:w="120" w:type="dxa"/>
              <w:left w:w="120" w:type="dxa"/>
              <w:bottom w:w="120" w:type="dxa"/>
              <w:right w:w="120" w:type="dxa"/>
            </w:tcMar>
            <w:hideMark/>
          </w:tcPr>
          <w:p w14:paraId="14D7154C" w14:textId="77777777" w:rsidR="00D00FC5" w:rsidRPr="00D00FC5" w:rsidRDefault="00D00FC5" w:rsidP="00D00FC5">
            <w:r w:rsidRPr="00D00FC5">
              <w:t>Business provides basic information</w:t>
            </w:r>
          </w:p>
        </w:tc>
      </w:tr>
      <w:tr w:rsidR="00D00FC5" w:rsidRPr="00D00FC5" w14:paraId="7635F3E1" w14:textId="77777777">
        <w:trPr>
          <w:tblCellSpacing w:w="15" w:type="dxa"/>
        </w:trPr>
        <w:tc>
          <w:tcPr>
            <w:tcW w:w="0" w:type="auto"/>
            <w:shd w:val="clear" w:color="auto" w:fill="FFFFFF"/>
            <w:tcMar>
              <w:top w:w="120" w:type="dxa"/>
              <w:left w:w="120" w:type="dxa"/>
              <w:bottom w:w="120" w:type="dxa"/>
              <w:right w:w="120" w:type="dxa"/>
            </w:tcMar>
            <w:hideMark/>
          </w:tcPr>
          <w:p w14:paraId="5B415724" w14:textId="77777777" w:rsidR="00D00FC5" w:rsidRPr="00D00FC5" w:rsidRDefault="00D00FC5" w:rsidP="00D00FC5">
            <w:r w:rsidRPr="00D00FC5">
              <w:t>Score</w:t>
            </w:r>
          </w:p>
        </w:tc>
        <w:tc>
          <w:tcPr>
            <w:tcW w:w="0" w:type="auto"/>
            <w:shd w:val="clear" w:color="auto" w:fill="FFFFFF"/>
            <w:tcMar>
              <w:top w:w="120" w:type="dxa"/>
              <w:left w:w="120" w:type="dxa"/>
              <w:bottom w:w="120" w:type="dxa"/>
              <w:right w:w="120" w:type="dxa"/>
            </w:tcMar>
            <w:hideMark/>
          </w:tcPr>
          <w:p w14:paraId="74B8F257" w14:textId="38C6A9EB" w:rsidR="00D00FC5" w:rsidRPr="00D00FC5" w:rsidRDefault="000937E0" w:rsidP="00D00FC5">
            <w:r>
              <w:t>The platform</w:t>
            </w:r>
            <w:r w:rsidR="00D00FC5" w:rsidRPr="00D00FC5">
              <w:t xml:space="preserve"> generates a capability score</w:t>
            </w:r>
          </w:p>
        </w:tc>
      </w:tr>
      <w:tr w:rsidR="00D00FC5" w:rsidRPr="00D00FC5" w14:paraId="76A0E6B7" w14:textId="77777777">
        <w:trPr>
          <w:tblCellSpacing w:w="15" w:type="dxa"/>
        </w:trPr>
        <w:tc>
          <w:tcPr>
            <w:tcW w:w="0" w:type="auto"/>
            <w:shd w:val="clear" w:color="auto" w:fill="FFFFFF"/>
            <w:tcMar>
              <w:top w:w="120" w:type="dxa"/>
              <w:left w:w="120" w:type="dxa"/>
              <w:bottom w:w="120" w:type="dxa"/>
              <w:right w:w="120" w:type="dxa"/>
            </w:tcMar>
            <w:hideMark/>
          </w:tcPr>
          <w:p w14:paraId="0ED9FDBF" w14:textId="77777777" w:rsidR="00D00FC5" w:rsidRPr="00D00FC5" w:rsidRDefault="00D00FC5" w:rsidP="00D00FC5">
            <w:r w:rsidRPr="00D00FC5">
              <w:t>Gaps</w:t>
            </w:r>
          </w:p>
        </w:tc>
        <w:tc>
          <w:tcPr>
            <w:tcW w:w="0" w:type="auto"/>
            <w:shd w:val="clear" w:color="auto" w:fill="FFFFFF"/>
            <w:tcMar>
              <w:top w:w="120" w:type="dxa"/>
              <w:left w:w="120" w:type="dxa"/>
              <w:bottom w:w="120" w:type="dxa"/>
              <w:right w:w="120" w:type="dxa"/>
            </w:tcMar>
            <w:hideMark/>
          </w:tcPr>
          <w:p w14:paraId="5BE8375E" w14:textId="77777777" w:rsidR="00D00FC5" w:rsidRPr="00D00FC5" w:rsidRDefault="00D00FC5" w:rsidP="00D00FC5">
            <w:r w:rsidRPr="00D00FC5">
              <w:t>Critical gaps and strengths are identified</w:t>
            </w:r>
          </w:p>
        </w:tc>
      </w:tr>
      <w:tr w:rsidR="00D00FC5" w:rsidRPr="00D00FC5" w14:paraId="2D737EDB" w14:textId="77777777">
        <w:trPr>
          <w:tblCellSpacing w:w="15" w:type="dxa"/>
        </w:trPr>
        <w:tc>
          <w:tcPr>
            <w:tcW w:w="0" w:type="auto"/>
            <w:shd w:val="clear" w:color="auto" w:fill="FFFFFF"/>
            <w:tcMar>
              <w:top w:w="120" w:type="dxa"/>
              <w:left w:w="120" w:type="dxa"/>
              <w:bottom w:w="120" w:type="dxa"/>
              <w:right w:w="120" w:type="dxa"/>
            </w:tcMar>
            <w:hideMark/>
          </w:tcPr>
          <w:p w14:paraId="15BFE4F5" w14:textId="77777777" w:rsidR="00D00FC5" w:rsidRPr="00D00FC5" w:rsidRDefault="00D00FC5" w:rsidP="00D00FC5">
            <w:r w:rsidRPr="00D00FC5">
              <w:t>Services</w:t>
            </w:r>
          </w:p>
        </w:tc>
        <w:tc>
          <w:tcPr>
            <w:tcW w:w="0" w:type="auto"/>
            <w:shd w:val="clear" w:color="auto" w:fill="FFFFFF"/>
            <w:tcMar>
              <w:top w:w="120" w:type="dxa"/>
              <w:left w:w="120" w:type="dxa"/>
              <w:bottom w:w="120" w:type="dxa"/>
              <w:right w:w="120" w:type="dxa"/>
            </w:tcMar>
            <w:hideMark/>
          </w:tcPr>
          <w:p w14:paraId="7DBF42D2" w14:textId="77777777" w:rsidR="00D00FC5" w:rsidRPr="00D00FC5" w:rsidRDefault="00D00FC5" w:rsidP="00D00FC5">
            <w:r w:rsidRPr="00D00FC5">
              <w:t>Tailored recommendations and service packages are presented</w:t>
            </w:r>
          </w:p>
        </w:tc>
      </w:tr>
      <w:tr w:rsidR="00D00FC5" w:rsidRPr="00D00FC5" w14:paraId="50EA9984" w14:textId="77777777">
        <w:trPr>
          <w:tblCellSpacing w:w="15" w:type="dxa"/>
        </w:trPr>
        <w:tc>
          <w:tcPr>
            <w:tcW w:w="0" w:type="auto"/>
            <w:shd w:val="clear" w:color="auto" w:fill="FFFFFF"/>
            <w:tcMar>
              <w:top w:w="120" w:type="dxa"/>
              <w:left w:w="120" w:type="dxa"/>
              <w:bottom w:w="120" w:type="dxa"/>
              <w:right w:w="120" w:type="dxa"/>
            </w:tcMar>
            <w:hideMark/>
          </w:tcPr>
          <w:p w14:paraId="42D6681B" w14:textId="77777777" w:rsidR="00D00FC5" w:rsidRPr="00D00FC5" w:rsidRDefault="00D00FC5" w:rsidP="00D00FC5">
            <w:r w:rsidRPr="00D00FC5">
              <w:t>Report</w:t>
            </w:r>
          </w:p>
        </w:tc>
        <w:tc>
          <w:tcPr>
            <w:tcW w:w="0" w:type="auto"/>
            <w:shd w:val="clear" w:color="auto" w:fill="FFFFFF"/>
            <w:tcMar>
              <w:top w:w="120" w:type="dxa"/>
              <w:left w:w="120" w:type="dxa"/>
              <w:bottom w:w="120" w:type="dxa"/>
              <w:right w:w="120" w:type="dxa"/>
            </w:tcMar>
            <w:hideMark/>
          </w:tcPr>
          <w:p w14:paraId="337CCD14" w14:textId="7FD07927" w:rsidR="00D00FC5" w:rsidRDefault="000937E0" w:rsidP="00D00FC5">
            <w:r>
              <w:t>A downloadable</w:t>
            </w:r>
            <w:r w:rsidR="00D00FC5" w:rsidRPr="00D00FC5">
              <w:t>, evidence-backed report is generated</w:t>
            </w:r>
          </w:p>
          <w:p w14:paraId="3664B7C4" w14:textId="77777777" w:rsidR="000937E0" w:rsidRPr="00D00FC5" w:rsidRDefault="000937E0" w:rsidP="00D00FC5"/>
        </w:tc>
      </w:tr>
    </w:tbl>
    <w:p w14:paraId="53104973" w14:textId="77777777" w:rsidR="00D00FC5" w:rsidRPr="00D00FC5" w:rsidRDefault="00D00FC5" w:rsidP="00D00FC5">
      <w:pPr>
        <w:rPr>
          <w:b/>
          <w:bCs/>
        </w:rPr>
      </w:pPr>
      <w:r w:rsidRPr="00D00FC5">
        <w:rPr>
          <w:b/>
          <w:bCs/>
        </w:rPr>
        <w:t>Conclusion</w:t>
      </w:r>
    </w:p>
    <w:p w14:paraId="67B233BC" w14:textId="5B68E20E" w:rsidR="005143BB" w:rsidRDefault="00D00FC5">
      <w:r w:rsidRPr="00D00FC5">
        <w:t>The NGIE-AI platform's deterministic business knowledge system offers a transparent, repeatable, and actionable approach to business growth. By leveraging structured knowledge from local ecosystem domains, it provides specific, evidence-backed recommendations and a clear path from assessment to service delivery—without relying on generic AI models.</w:t>
      </w:r>
    </w:p>
    <w:sectPr w:rsidR="00514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C2"/>
    <w:multiLevelType w:val="multilevel"/>
    <w:tmpl w:val="FA2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84D63"/>
    <w:multiLevelType w:val="multilevel"/>
    <w:tmpl w:val="48E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C5F25"/>
    <w:multiLevelType w:val="multilevel"/>
    <w:tmpl w:val="8F2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44F00"/>
    <w:multiLevelType w:val="multilevel"/>
    <w:tmpl w:val="CE1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A7398"/>
    <w:multiLevelType w:val="multilevel"/>
    <w:tmpl w:val="A2C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3453B"/>
    <w:multiLevelType w:val="multilevel"/>
    <w:tmpl w:val="33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03004"/>
    <w:multiLevelType w:val="multilevel"/>
    <w:tmpl w:val="8A6E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4298A"/>
    <w:multiLevelType w:val="multilevel"/>
    <w:tmpl w:val="8EC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244F9"/>
    <w:multiLevelType w:val="multilevel"/>
    <w:tmpl w:val="B00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56607"/>
    <w:multiLevelType w:val="multilevel"/>
    <w:tmpl w:val="DA5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C3A39"/>
    <w:multiLevelType w:val="multilevel"/>
    <w:tmpl w:val="CC8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C7237"/>
    <w:multiLevelType w:val="multilevel"/>
    <w:tmpl w:val="0C5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A019D"/>
    <w:multiLevelType w:val="multilevel"/>
    <w:tmpl w:val="331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23FDB"/>
    <w:multiLevelType w:val="multilevel"/>
    <w:tmpl w:val="D346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B53DD"/>
    <w:multiLevelType w:val="multilevel"/>
    <w:tmpl w:val="16E0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511FE8"/>
    <w:multiLevelType w:val="multilevel"/>
    <w:tmpl w:val="9B4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066D3"/>
    <w:multiLevelType w:val="multilevel"/>
    <w:tmpl w:val="D9E4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B6EAE"/>
    <w:multiLevelType w:val="multilevel"/>
    <w:tmpl w:val="AD4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E3B01"/>
    <w:multiLevelType w:val="multilevel"/>
    <w:tmpl w:val="C7DC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C1D34"/>
    <w:multiLevelType w:val="multilevel"/>
    <w:tmpl w:val="237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64634">
    <w:abstractNumId w:val="19"/>
  </w:num>
  <w:num w:numId="2" w16cid:durableId="1526822040">
    <w:abstractNumId w:val="13"/>
  </w:num>
  <w:num w:numId="3" w16cid:durableId="1224103403">
    <w:abstractNumId w:val="4"/>
  </w:num>
  <w:num w:numId="4" w16cid:durableId="546988241">
    <w:abstractNumId w:val="11"/>
  </w:num>
  <w:num w:numId="5" w16cid:durableId="1084304766">
    <w:abstractNumId w:val="2"/>
  </w:num>
  <w:num w:numId="6" w16cid:durableId="1407847686">
    <w:abstractNumId w:val="14"/>
  </w:num>
  <w:num w:numId="7" w16cid:durableId="572812988">
    <w:abstractNumId w:val="8"/>
  </w:num>
  <w:num w:numId="8" w16cid:durableId="68040836">
    <w:abstractNumId w:val="0"/>
  </w:num>
  <w:num w:numId="9" w16cid:durableId="1735352996">
    <w:abstractNumId w:val="9"/>
  </w:num>
  <w:num w:numId="10" w16cid:durableId="36440327">
    <w:abstractNumId w:val="10"/>
  </w:num>
  <w:num w:numId="11" w16cid:durableId="289435901">
    <w:abstractNumId w:val="3"/>
  </w:num>
  <w:num w:numId="12" w16cid:durableId="1411536153">
    <w:abstractNumId w:val="15"/>
  </w:num>
  <w:num w:numId="13" w16cid:durableId="1326546442">
    <w:abstractNumId w:val="16"/>
  </w:num>
  <w:num w:numId="14" w16cid:durableId="648438910">
    <w:abstractNumId w:val="5"/>
  </w:num>
  <w:num w:numId="15" w16cid:durableId="2043629869">
    <w:abstractNumId w:val="17"/>
  </w:num>
  <w:num w:numId="16" w16cid:durableId="790706200">
    <w:abstractNumId w:val="18"/>
  </w:num>
  <w:num w:numId="17" w16cid:durableId="557594077">
    <w:abstractNumId w:val="1"/>
  </w:num>
  <w:num w:numId="18" w16cid:durableId="948702997">
    <w:abstractNumId w:val="6"/>
  </w:num>
  <w:num w:numId="19" w16cid:durableId="691688385">
    <w:abstractNumId w:val="7"/>
  </w:num>
  <w:num w:numId="20" w16cid:durableId="1940941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C5"/>
    <w:rsid w:val="00052AF3"/>
    <w:rsid w:val="000937E0"/>
    <w:rsid w:val="005143BB"/>
    <w:rsid w:val="009B2F19"/>
    <w:rsid w:val="00D00FC5"/>
    <w:rsid w:val="00F1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0392"/>
  <w15:chartTrackingRefBased/>
  <w15:docId w15:val="{2AE3F3D1-2A98-4958-94B9-C4940D68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FC5"/>
    <w:rPr>
      <w:rFonts w:eastAsiaTheme="majorEastAsia" w:cstheme="majorBidi"/>
      <w:color w:val="272727" w:themeColor="text1" w:themeTint="D8"/>
    </w:rPr>
  </w:style>
  <w:style w:type="paragraph" w:styleId="Title">
    <w:name w:val="Title"/>
    <w:basedOn w:val="Normal"/>
    <w:next w:val="Normal"/>
    <w:link w:val="TitleChar"/>
    <w:uiPriority w:val="10"/>
    <w:qFormat/>
    <w:rsid w:val="00D0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C5"/>
    <w:pPr>
      <w:spacing w:before="160"/>
      <w:jc w:val="center"/>
    </w:pPr>
    <w:rPr>
      <w:i/>
      <w:iCs/>
      <w:color w:val="404040" w:themeColor="text1" w:themeTint="BF"/>
    </w:rPr>
  </w:style>
  <w:style w:type="character" w:customStyle="1" w:styleId="QuoteChar">
    <w:name w:val="Quote Char"/>
    <w:basedOn w:val="DefaultParagraphFont"/>
    <w:link w:val="Quote"/>
    <w:uiPriority w:val="29"/>
    <w:rsid w:val="00D00FC5"/>
    <w:rPr>
      <w:i/>
      <w:iCs/>
      <w:color w:val="404040" w:themeColor="text1" w:themeTint="BF"/>
    </w:rPr>
  </w:style>
  <w:style w:type="paragraph" w:styleId="ListParagraph">
    <w:name w:val="List Paragraph"/>
    <w:basedOn w:val="Normal"/>
    <w:uiPriority w:val="34"/>
    <w:qFormat/>
    <w:rsid w:val="00D00FC5"/>
    <w:pPr>
      <w:ind w:left="720"/>
      <w:contextualSpacing/>
    </w:pPr>
  </w:style>
  <w:style w:type="character" w:styleId="IntenseEmphasis">
    <w:name w:val="Intense Emphasis"/>
    <w:basedOn w:val="DefaultParagraphFont"/>
    <w:uiPriority w:val="21"/>
    <w:qFormat/>
    <w:rsid w:val="00D00FC5"/>
    <w:rPr>
      <w:i/>
      <w:iCs/>
      <w:color w:val="0F4761" w:themeColor="accent1" w:themeShade="BF"/>
    </w:rPr>
  </w:style>
  <w:style w:type="paragraph" w:styleId="IntenseQuote">
    <w:name w:val="Intense Quote"/>
    <w:basedOn w:val="Normal"/>
    <w:next w:val="Normal"/>
    <w:link w:val="IntenseQuoteChar"/>
    <w:uiPriority w:val="30"/>
    <w:qFormat/>
    <w:rsid w:val="00D0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FC5"/>
    <w:rPr>
      <w:i/>
      <w:iCs/>
      <w:color w:val="0F4761" w:themeColor="accent1" w:themeShade="BF"/>
    </w:rPr>
  </w:style>
  <w:style w:type="character" w:styleId="IntenseReference">
    <w:name w:val="Intense Reference"/>
    <w:basedOn w:val="DefaultParagraphFont"/>
    <w:uiPriority w:val="32"/>
    <w:qFormat/>
    <w:rsid w:val="00D00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GiNi Inc.</dc:creator>
  <cp:keywords/>
  <dc:description/>
  <cp:lastModifiedBy>GiNi Inc.</cp:lastModifiedBy>
  <cp:revision>2</cp:revision>
  <dcterms:created xsi:type="dcterms:W3CDTF">2026-07-08T22:07:00Z</dcterms:created>
  <dcterms:modified xsi:type="dcterms:W3CDTF">2026-07-08T22:26:00Z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90161e28-ba06-4683-965f-4aab016bcc38</vt:lpwstr>
  </property>
</Properties>
</file>